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40" w:rsidRDefault="00E46940"/>
    <w:p w:rsidR="00E46940" w:rsidRDefault="00E46940"/>
    <w:p w:rsidR="00E46940" w:rsidRDefault="00E46940"/>
    <w:p w:rsidR="00E46940" w:rsidRDefault="00E46940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E46940" w:rsidTr="00544787">
        <w:trPr>
          <w:trHeight w:val="1002"/>
        </w:trPr>
        <w:tc>
          <w:tcPr>
            <w:tcW w:w="9288" w:type="dxa"/>
            <w:tcBorders>
              <w:bottom w:val="single" w:sz="4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940" w:rsidRDefault="0049643E">
            <w:pPr>
              <w:pStyle w:val="Bezmezer"/>
              <w:jc w:val="center"/>
              <w:rPr>
                <w:rFonts w:ascii="Cambria" w:eastAsia="Times New Roman" w:hAnsi="Cambria"/>
                <w:sz w:val="60"/>
                <w:szCs w:val="60"/>
              </w:rPr>
            </w:pPr>
            <w:r>
              <w:rPr>
                <w:rFonts w:ascii="Cambria" w:eastAsia="Times New Roman" w:hAnsi="Cambria"/>
                <w:sz w:val="60"/>
                <w:szCs w:val="60"/>
              </w:rPr>
              <w:t>Příloha v účetní závěrce</w:t>
            </w:r>
          </w:p>
          <w:p w:rsidR="00E46940" w:rsidRDefault="0049643E">
            <w:pPr>
              <w:pStyle w:val="Bezmezer"/>
              <w:jc w:val="center"/>
            </w:pPr>
            <w:r>
              <w:rPr>
                <w:rFonts w:ascii="Cambria" w:eastAsia="Times New Roman" w:hAnsi="Cambria"/>
                <w:sz w:val="60"/>
                <w:szCs w:val="60"/>
              </w:rPr>
              <w:t>ve zkráceném rozsahu</w:t>
            </w:r>
          </w:p>
        </w:tc>
      </w:tr>
      <w:tr w:rsidR="00E46940" w:rsidTr="00544787">
        <w:trPr>
          <w:trHeight w:val="720"/>
        </w:trPr>
        <w:tc>
          <w:tcPr>
            <w:tcW w:w="9288" w:type="dxa"/>
            <w:tcBorders>
              <w:top w:val="single" w:sz="4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940" w:rsidRDefault="0049643E">
            <w:pPr>
              <w:pStyle w:val="Bezmezer"/>
              <w:jc w:val="center"/>
            </w:pPr>
            <w:r>
              <w:rPr>
                <w:rFonts w:ascii="Cambria" w:eastAsia="Times New Roman" w:hAnsi="Cambria"/>
                <w:sz w:val="40"/>
                <w:szCs w:val="40"/>
              </w:rPr>
              <w:t xml:space="preserve">Korporace </w:t>
            </w:r>
            <w:proofErr w:type="spellStart"/>
            <w:r>
              <w:rPr>
                <w:rFonts w:ascii="Cambria" w:eastAsia="Times New Roman" w:hAnsi="Cambria"/>
                <w:sz w:val="40"/>
                <w:szCs w:val="40"/>
              </w:rPr>
              <w:t>Sapiente</w:t>
            </w:r>
            <w:proofErr w:type="spellEnd"/>
            <w:r>
              <w:rPr>
                <w:rFonts w:ascii="Cambria" w:eastAsia="Times New Roman" w:hAnsi="Cambria"/>
                <w:sz w:val="40"/>
                <w:szCs w:val="40"/>
              </w:rPr>
              <w:t xml:space="preserve"> - sociální podnik s.r.o.</w:t>
            </w:r>
          </w:p>
        </w:tc>
      </w:tr>
      <w:tr w:rsidR="00E46940" w:rsidTr="00544787">
        <w:trPr>
          <w:trHeight w:val="80"/>
        </w:trPr>
        <w:tc>
          <w:tcPr>
            <w:tcW w:w="9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940" w:rsidRDefault="00E46940">
            <w:pPr>
              <w:pStyle w:val="Bezmezer"/>
            </w:pPr>
          </w:p>
        </w:tc>
      </w:tr>
      <w:tr w:rsidR="00E46940" w:rsidTr="00544787">
        <w:trPr>
          <w:trHeight w:val="360"/>
        </w:trPr>
        <w:tc>
          <w:tcPr>
            <w:tcW w:w="9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940" w:rsidRDefault="0049643E" w:rsidP="00E07252">
            <w:pPr>
              <w:pStyle w:val="Bezmezer"/>
              <w:jc w:val="center"/>
            </w:pPr>
            <w:r>
              <w:rPr>
                <w:bCs/>
                <w:sz w:val="30"/>
                <w:szCs w:val="30"/>
              </w:rPr>
              <w:t xml:space="preserve">ke dni </w:t>
            </w:r>
            <w:proofErr w:type="gramStart"/>
            <w:r>
              <w:rPr>
                <w:bCs/>
                <w:sz w:val="30"/>
                <w:szCs w:val="30"/>
              </w:rPr>
              <w:t>31.12.202</w:t>
            </w:r>
            <w:r w:rsidR="00E07252">
              <w:rPr>
                <w:bCs/>
                <w:sz w:val="30"/>
                <w:szCs w:val="30"/>
              </w:rPr>
              <w:t>1</w:t>
            </w:r>
            <w:proofErr w:type="gramEnd"/>
          </w:p>
        </w:tc>
      </w:tr>
    </w:tbl>
    <w:p w:rsidR="00544787" w:rsidRDefault="00544787" w:rsidP="00544787">
      <w:pPr>
        <w:jc w:val="center"/>
        <w:rPr>
          <w:bCs/>
          <w:sz w:val="30"/>
          <w:szCs w:val="30"/>
        </w:rPr>
      </w:pPr>
    </w:p>
    <w:p w:rsidR="00544787" w:rsidRDefault="00544787" w:rsidP="00544787">
      <w:pPr>
        <w:jc w:val="center"/>
        <w:rPr>
          <w:bCs/>
          <w:sz w:val="30"/>
          <w:szCs w:val="30"/>
        </w:rPr>
      </w:pPr>
    </w:p>
    <w:p w:rsidR="00544787" w:rsidRDefault="00544787" w:rsidP="00544787">
      <w:pPr>
        <w:jc w:val="center"/>
        <w:rPr>
          <w:bCs/>
          <w:sz w:val="30"/>
          <w:szCs w:val="30"/>
        </w:rPr>
      </w:pPr>
    </w:p>
    <w:p w:rsidR="00544787" w:rsidRDefault="00544787" w:rsidP="00544787">
      <w:pPr>
        <w:jc w:val="center"/>
        <w:rPr>
          <w:bCs/>
          <w:sz w:val="30"/>
          <w:szCs w:val="30"/>
        </w:rPr>
      </w:pPr>
    </w:p>
    <w:p w:rsidR="00544787" w:rsidRDefault="00544787" w:rsidP="00544787">
      <w:pPr>
        <w:jc w:val="center"/>
        <w:rPr>
          <w:bCs/>
          <w:sz w:val="30"/>
          <w:szCs w:val="30"/>
        </w:rPr>
      </w:pPr>
    </w:p>
    <w:p w:rsidR="00544787" w:rsidRDefault="00544787" w:rsidP="00544787">
      <w:pPr>
        <w:spacing w:after="0" w:line="240" w:lineRule="auto"/>
        <w:rPr>
          <w:b/>
        </w:rPr>
      </w:pPr>
      <w:r>
        <w:rPr>
          <w:b/>
        </w:rPr>
        <w:t>Obsah přílohy</w:t>
      </w:r>
    </w:p>
    <w:p w:rsidR="00544787" w:rsidRDefault="00544787" w:rsidP="00544787">
      <w:pPr>
        <w:spacing w:line="240" w:lineRule="auto"/>
      </w:pPr>
      <w:r>
        <w:t>Podle § 39 vyhlášky č. 500/2002 Sb.:</w:t>
      </w:r>
    </w:p>
    <w:p w:rsidR="00544787" w:rsidRDefault="00544787" w:rsidP="00544787">
      <w:pPr>
        <w:spacing w:line="240" w:lineRule="auto"/>
        <w:rPr>
          <w:sz w:val="8"/>
          <w:szCs w:val="8"/>
          <w:lang w:eastAsia="cs-CZ"/>
        </w:rPr>
      </w:pPr>
    </w:p>
    <w:p w:rsidR="00544787" w:rsidRDefault="00544787" w:rsidP="00544787">
      <w:pPr>
        <w:pStyle w:val="Contents1"/>
        <w:tabs>
          <w:tab w:val="right" w:leader="dot" w:pos="567"/>
        </w:tabs>
      </w:pPr>
      <w:r>
        <w:rPr>
          <w:sz w:val="22"/>
        </w:rPr>
        <w:fldChar w:fldCharType="begin"/>
      </w:r>
      <w:r>
        <w:instrText xml:space="preserve"> TOC \o "1-1" \n 1-9 \h </w:instrText>
      </w:r>
      <w:r>
        <w:rPr>
          <w:sz w:val="22"/>
        </w:rPr>
        <w:fldChar w:fldCharType="separate"/>
      </w:r>
      <w:r>
        <w:t>1.</w:t>
      </w:r>
      <w:r>
        <w:rPr>
          <w:rFonts w:eastAsia="Times New Roman"/>
          <w:sz w:val="22"/>
          <w:lang w:eastAsia="cs-CZ"/>
        </w:rPr>
        <w:tab/>
      </w:r>
      <w:r>
        <w:t>Popis účetní jednotky</w:t>
      </w:r>
    </w:p>
    <w:p w:rsidR="00544787" w:rsidRDefault="00544787" w:rsidP="00544787">
      <w:pPr>
        <w:pStyle w:val="Contents1"/>
        <w:tabs>
          <w:tab w:val="right" w:leader="dot" w:pos="567"/>
        </w:tabs>
      </w:pPr>
      <w:r>
        <w:t>2.</w:t>
      </w:r>
      <w:r>
        <w:rPr>
          <w:rFonts w:eastAsia="Times New Roman"/>
          <w:sz w:val="22"/>
          <w:lang w:eastAsia="cs-CZ"/>
        </w:rPr>
        <w:tab/>
      </w:r>
      <w:r>
        <w:t>Majetková či smluvní spoluúčast účetní jednotky v jiných korporacích</w:t>
      </w:r>
    </w:p>
    <w:p w:rsidR="00544787" w:rsidRDefault="00544787" w:rsidP="00544787">
      <w:pPr>
        <w:pStyle w:val="Contents1"/>
        <w:tabs>
          <w:tab w:val="right" w:leader="dot" w:pos="567"/>
        </w:tabs>
      </w:pPr>
      <w:r>
        <w:t>3.</w:t>
      </w:r>
      <w:r>
        <w:rPr>
          <w:rFonts w:eastAsia="Times New Roman"/>
          <w:sz w:val="22"/>
          <w:lang w:eastAsia="cs-CZ"/>
        </w:rPr>
        <w:tab/>
      </w:r>
      <w:r>
        <w:t>Zaměstnanci korporace, osobní náklady</w:t>
      </w:r>
    </w:p>
    <w:p w:rsidR="00544787" w:rsidRDefault="00544787" w:rsidP="00544787">
      <w:pPr>
        <w:pStyle w:val="Contents1"/>
        <w:tabs>
          <w:tab w:val="right" w:leader="dot" w:pos="567"/>
        </w:tabs>
      </w:pPr>
      <w:r>
        <w:t>4.</w:t>
      </w:r>
      <w:r>
        <w:rPr>
          <w:rFonts w:eastAsia="Times New Roman"/>
          <w:sz w:val="22"/>
          <w:lang w:eastAsia="cs-CZ"/>
        </w:rPr>
        <w:tab/>
      </w:r>
      <w:r>
        <w:t>Používané účetní metody, obecné účetní zásady a způsoby oceňování</w:t>
      </w:r>
    </w:p>
    <w:p w:rsidR="00544787" w:rsidRDefault="00544787" w:rsidP="00544787">
      <w:pPr>
        <w:pStyle w:val="Contents1"/>
        <w:tabs>
          <w:tab w:val="right" w:leader="dot" w:pos="567"/>
        </w:tabs>
      </w:pPr>
      <w:r>
        <w:t>5.</w:t>
      </w:r>
      <w:r>
        <w:rPr>
          <w:rFonts w:eastAsia="Times New Roman"/>
          <w:sz w:val="22"/>
          <w:lang w:eastAsia="cs-CZ"/>
        </w:rPr>
        <w:tab/>
      </w:r>
      <w:r>
        <w:t>Informace k položkám majetku a závazků</w:t>
      </w:r>
    </w:p>
    <w:p w:rsidR="00544787" w:rsidRDefault="00544787" w:rsidP="00544787">
      <w:pPr>
        <w:pStyle w:val="Contents1"/>
        <w:tabs>
          <w:tab w:val="right" w:leader="dot" w:pos="567"/>
        </w:tabs>
      </w:pPr>
    </w:p>
    <w:p w:rsidR="00544787" w:rsidRDefault="00544787" w:rsidP="00544787"/>
    <w:p w:rsidR="00544787" w:rsidRDefault="00544787" w:rsidP="00544787"/>
    <w:p w:rsidR="00544787" w:rsidRDefault="00544787" w:rsidP="00544787"/>
    <w:p w:rsidR="00544787" w:rsidRDefault="00544787" w:rsidP="00544787">
      <w:pPr>
        <w:pStyle w:val="Contents1"/>
        <w:tabs>
          <w:tab w:val="right" w:leader="dot" w:pos="567"/>
        </w:tabs>
      </w:pPr>
    </w:p>
    <w:p w:rsidR="00544787" w:rsidRDefault="00544787" w:rsidP="00544787">
      <w:pPr>
        <w:jc w:val="center"/>
      </w:pPr>
      <w:r>
        <w:rPr>
          <w:sz w:val="18"/>
        </w:rPr>
        <w:fldChar w:fldCharType="end"/>
      </w:r>
      <w:r>
        <w:br w:type="page"/>
      </w:r>
    </w:p>
    <w:tbl>
      <w:tblPr>
        <w:tblpPr w:leftFromText="141" w:rightFromText="141" w:horzAnchor="margin" w:tblpXSpec="right" w:tblpY="-656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544787" w:rsidTr="00345DCA">
        <w:trPr>
          <w:trHeight w:val="360"/>
        </w:trPr>
        <w:tc>
          <w:tcPr>
            <w:tcW w:w="9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87" w:rsidRDefault="00544787" w:rsidP="00345DCA">
            <w:pPr>
              <w:pStyle w:val="Bezmezer"/>
            </w:pPr>
          </w:p>
        </w:tc>
      </w:tr>
      <w:tr w:rsidR="00544787" w:rsidTr="00345DCA">
        <w:trPr>
          <w:trHeight w:val="360"/>
        </w:trPr>
        <w:tc>
          <w:tcPr>
            <w:tcW w:w="9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87" w:rsidRDefault="00544787" w:rsidP="00345DCA">
            <w:pPr>
              <w:pStyle w:val="Bezmezer"/>
              <w:rPr>
                <w:b/>
                <w:bCs/>
              </w:rPr>
            </w:pPr>
          </w:p>
        </w:tc>
      </w:tr>
    </w:tbl>
    <w:p w:rsidR="00544787" w:rsidRDefault="00544787" w:rsidP="00544787">
      <w:pPr>
        <w:pStyle w:val="Nadpis1"/>
        <w:numPr>
          <w:ilvl w:val="0"/>
          <w:numId w:val="35"/>
        </w:numPr>
      </w:pPr>
      <w:r>
        <w:t>Popis účetní jednotky</w:t>
      </w:r>
    </w:p>
    <w:p w:rsidR="00544787" w:rsidRDefault="00544787" w:rsidP="00544787">
      <w:pPr>
        <w:autoSpaceDE w:val="0"/>
        <w:spacing w:after="0" w:line="240" w:lineRule="auto"/>
        <w:ind w:left="708"/>
        <w:rPr>
          <w:rFonts w:cs="Calibri"/>
          <w:b/>
          <w:bCs/>
        </w:rPr>
      </w:pPr>
    </w:p>
    <w:p w:rsidR="00544787" w:rsidRDefault="00544787" w:rsidP="00544787">
      <w:pPr>
        <w:autoSpaceDE w:val="0"/>
        <w:spacing w:after="0" w:line="240" w:lineRule="auto"/>
        <w:ind w:left="708"/>
      </w:pPr>
      <w:r>
        <w:rPr>
          <w:rFonts w:cs="Calibri"/>
          <w:b/>
          <w:bCs/>
        </w:rPr>
        <w:t>Název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>
        <w:rPr>
          <w:rFonts w:cs="Calibri"/>
        </w:rPr>
        <w:t>Sapiente</w:t>
      </w:r>
      <w:proofErr w:type="spellEnd"/>
      <w:r>
        <w:rPr>
          <w:rFonts w:cs="Calibri"/>
        </w:rPr>
        <w:t xml:space="preserve"> sociální podnik, s.r.o.</w:t>
      </w:r>
    </w:p>
    <w:p w:rsidR="00544787" w:rsidRDefault="00544787" w:rsidP="00544787">
      <w:pPr>
        <w:autoSpaceDE w:val="0"/>
        <w:spacing w:after="0" w:line="240" w:lineRule="auto"/>
        <w:ind w:left="708"/>
      </w:pPr>
      <w:r>
        <w:rPr>
          <w:rFonts w:cs="Calibri"/>
          <w:b/>
          <w:bCs/>
        </w:rPr>
        <w:t>Sídlo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Příkop 843/4, Zábrdovice, 602 00 Brno</w:t>
      </w:r>
    </w:p>
    <w:p w:rsidR="00544787" w:rsidRDefault="00544787" w:rsidP="00544787">
      <w:pPr>
        <w:autoSpaceDE w:val="0"/>
        <w:spacing w:after="0" w:line="240" w:lineRule="auto"/>
        <w:ind w:left="708"/>
      </w:pPr>
      <w:r>
        <w:rPr>
          <w:rFonts w:cs="Calibri"/>
          <w:b/>
          <w:bCs/>
        </w:rPr>
        <w:t>Právní forma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společnost s ručením omezeným</w:t>
      </w:r>
    </w:p>
    <w:p w:rsidR="00544787" w:rsidRDefault="00544787" w:rsidP="00544787">
      <w:pPr>
        <w:autoSpaceDE w:val="0"/>
        <w:spacing w:after="0" w:line="240" w:lineRule="auto"/>
        <w:ind w:left="708"/>
      </w:pPr>
      <w:r>
        <w:rPr>
          <w:rFonts w:cs="Calibri"/>
          <w:b/>
          <w:bCs/>
        </w:rPr>
        <w:t>IČ</w:t>
      </w:r>
      <w:r>
        <w:rPr>
          <w:rFonts w:cs="Calibri"/>
        </w:rPr>
        <w:t>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02716496</w:t>
      </w:r>
    </w:p>
    <w:p w:rsidR="00544787" w:rsidRDefault="00544787" w:rsidP="00544787">
      <w:pPr>
        <w:autoSpaceDE w:val="0"/>
        <w:spacing w:after="0" w:line="240" w:lineRule="auto"/>
        <w:ind w:left="708"/>
      </w:pPr>
      <w:r>
        <w:rPr>
          <w:rFonts w:cs="Calibri"/>
          <w:b/>
          <w:bCs/>
        </w:rPr>
        <w:t>Rozhodující předmět činnosti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>
        <w:rPr>
          <w:rFonts w:cs="Calibri"/>
        </w:rPr>
        <w:tab/>
        <w:t>obchodní činnost</w:t>
      </w:r>
    </w:p>
    <w:p w:rsidR="00544787" w:rsidRDefault="00544787" w:rsidP="00544787">
      <w:pPr>
        <w:autoSpaceDE w:val="0"/>
        <w:spacing w:after="0" w:line="240" w:lineRule="auto"/>
        <w:ind w:left="708"/>
      </w:pPr>
      <w:r>
        <w:rPr>
          <w:rFonts w:cs="Calibri"/>
          <w:b/>
          <w:bCs/>
        </w:rPr>
        <w:t>Datum vzniku účetní jednotky</w:t>
      </w:r>
      <w:r>
        <w:rPr>
          <w:rFonts w:cs="Calibri"/>
        </w:rPr>
        <w:t xml:space="preserve">: </w:t>
      </w:r>
      <w:r>
        <w:rPr>
          <w:rFonts w:cs="Calibri"/>
        </w:rPr>
        <w:tab/>
        <w:t>27. Února 2014</w:t>
      </w:r>
      <w:r>
        <w:rPr>
          <w:rFonts w:cs="Calibri"/>
        </w:rPr>
        <w:tab/>
      </w:r>
    </w:p>
    <w:p w:rsidR="00544787" w:rsidRDefault="00544787" w:rsidP="00544787">
      <w:pPr>
        <w:autoSpaceDE w:val="0"/>
        <w:spacing w:after="0" w:line="240" w:lineRule="auto"/>
        <w:ind w:left="708"/>
      </w:pPr>
      <w:r>
        <w:rPr>
          <w:rFonts w:cs="Calibri"/>
          <w:b/>
          <w:bCs/>
        </w:rPr>
        <w:t>Zdaňovací období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od </w:t>
      </w:r>
      <w:proofErr w:type="gramStart"/>
      <w:r>
        <w:rPr>
          <w:rFonts w:cs="Calibri"/>
        </w:rPr>
        <w:t>1.1.202</w:t>
      </w:r>
      <w:r w:rsidR="00E07252">
        <w:rPr>
          <w:rFonts w:cs="Calibri"/>
        </w:rPr>
        <w:t>1</w:t>
      </w:r>
      <w:proofErr w:type="gramEnd"/>
      <w:r>
        <w:rPr>
          <w:rFonts w:cs="Calibri"/>
        </w:rPr>
        <w:t xml:space="preserve"> do 31.12.202</w:t>
      </w:r>
      <w:r w:rsidR="00E07252">
        <w:rPr>
          <w:rFonts w:cs="Calibri"/>
        </w:rPr>
        <w:t>1</w:t>
      </w:r>
    </w:p>
    <w:p w:rsidR="00544787" w:rsidRDefault="00544787" w:rsidP="00544787">
      <w:pPr>
        <w:autoSpaceDE w:val="0"/>
        <w:spacing w:after="0" w:line="240" w:lineRule="auto"/>
        <w:ind w:left="708"/>
      </w:pPr>
      <w:r>
        <w:rPr>
          <w:rFonts w:cs="Calibri"/>
          <w:b/>
          <w:bCs/>
        </w:rPr>
        <w:t>Rozvahový den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gramStart"/>
      <w:r>
        <w:rPr>
          <w:rFonts w:cs="Calibri"/>
        </w:rPr>
        <w:t>31.12.202</w:t>
      </w:r>
      <w:r w:rsidR="00E07252">
        <w:rPr>
          <w:rFonts w:cs="Calibri"/>
        </w:rPr>
        <w:t>1</w:t>
      </w:r>
      <w:proofErr w:type="gramEnd"/>
    </w:p>
    <w:p w:rsidR="00544787" w:rsidRDefault="00544787" w:rsidP="00544787">
      <w:pPr>
        <w:autoSpaceDE w:val="0"/>
        <w:spacing w:after="0" w:line="240" w:lineRule="auto"/>
        <w:ind w:left="708"/>
      </w:pPr>
      <w:r>
        <w:rPr>
          <w:rFonts w:cs="Calibri"/>
          <w:b/>
          <w:bCs/>
        </w:rPr>
        <w:t>Okamžik sestavení účetní závěrky</w:t>
      </w:r>
      <w:r>
        <w:rPr>
          <w:rFonts w:cs="Calibri"/>
        </w:rPr>
        <w:t>:</w:t>
      </w:r>
      <w:r>
        <w:rPr>
          <w:rFonts w:cs="Calibri"/>
        </w:rPr>
        <w:tab/>
      </w:r>
      <w:r w:rsidR="00E07252">
        <w:rPr>
          <w:rFonts w:cs="Calibri"/>
        </w:rPr>
        <w:t>30</w:t>
      </w:r>
      <w:r>
        <w:rPr>
          <w:rFonts w:cs="Calibri"/>
        </w:rPr>
        <w:t>.</w:t>
      </w:r>
      <w:r w:rsidR="00E07252">
        <w:rPr>
          <w:rFonts w:cs="Calibri"/>
        </w:rPr>
        <w:t>6</w:t>
      </w:r>
      <w:r>
        <w:rPr>
          <w:rFonts w:cs="Calibri"/>
        </w:rPr>
        <w:t>.202</w:t>
      </w:r>
      <w:r w:rsidR="00E07252">
        <w:rPr>
          <w:rFonts w:cs="Calibri"/>
        </w:rPr>
        <w:t>2</w:t>
      </w:r>
      <w:bookmarkStart w:id="0" w:name="_GoBack"/>
      <w:bookmarkEnd w:id="0"/>
    </w:p>
    <w:p w:rsidR="00544787" w:rsidRDefault="00544787" w:rsidP="00544787">
      <w:pPr>
        <w:autoSpaceDE w:val="0"/>
        <w:spacing w:after="0" w:line="240" w:lineRule="auto"/>
        <w:rPr>
          <w:rFonts w:cs="Calibri"/>
          <w:b/>
          <w:bCs/>
        </w:rPr>
      </w:pPr>
    </w:p>
    <w:p w:rsidR="00544787" w:rsidRDefault="00544787" w:rsidP="00544787">
      <w:pPr>
        <w:autoSpaceDE w:val="0"/>
        <w:spacing w:after="0" w:line="240" w:lineRule="auto"/>
        <w:rPr>
          <w:rFonts w:cs="Calibri"/>
          <w:b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t>Osoby podílející se na základním kapitálu účetní jednotky více než 20 %:</w:t>
      </w:r>
    </w:p>
    <w:tbl>
      <w:tblPr>
        <w:tblW w:w="8334" w:type="dxa"/>
        <w:tblInd w:w="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0"/>
        <w:gridCol w:w="2776"/>
        <w:gridCol w:w="1553"/>
        <w:gridCol w:w="1555"/>
      </w:tblGrid>
      <w:tr w:rsidR="00544787" w:rsidTr="00E07252">
        <w:trPr>
          <w:trHeight w:val="265"/>
        </w:trPr>
        <w:tc>
          <w:tcPr>
            <w:tcW w:w="2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787" w:rsidRDefault="00544787" w:rsidP="00345DC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 xml:space="preserve">Jméno fyzické </w:t>
            </w:r>
            <w:proofErr w:type="gramStart"/>
            <w:r>
              <w:rPr>
                <w:rFonts w:eastAsia="Times New Roman" w:cs="Calibri"/>
                <w:b/>
                <w:lang w:eastAsia="cs-CZ"/>
              </w:rPr>
              <w:t>osoby,     název</w:t>
            </w:r>
            <w:proofErr w:type="gramEnd"/>
            <w:r>
              <w:rPr>
                <w:rFonts w:eastAsia="Times New Roman" w:cs="Calibri"/>
                <w:b/>
                <w:lang w:eastAsia="cs-CZ"/>
              </w:rPr>
              <w:t xml:space="preserve"> právnické osoby</w:t>
            </w: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787" w:rsidRDefault="00544787" w:rsidP="00345DC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Bydliště, sídlo</w:t>
            </w:r>
          </w:p>
        </w:tc>
        <w:tc>
          <w:tcPr>
            <w:tcW w:w="3108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787" w:rsidRDefault="00544787" w:rsidP="00345DC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Sledované účetní období</w:t>
            </w:r>
          </w:p>
        </w:tc>
      </w:tr>
      <w:tr w:rsidR="00544787" w:rsidTr="00E07252">
        <w:trPr>
          <w:trHeight w:val="625"/>
        </w:trPr>
        <w:tc>
          <w:tcPr>
            <w:tcW w:w="24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787" w:rsidRDefault="00544787" w:rsidP="00345DCA">
            <w:pPr>
              <w:suppressAutoHyphens w:val="0"/>
            </w:pPr>
          </w:p>
        </w:tc>
        <w:tc>
          <w:tcPr>
            <w:tcW w:w="27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787" w:rsidRDefault="00544787" w:rsidP="00345DCA">
            <w:pPr>
              <w:suppressAutoHyphens w:val="0"/>
            </w:pPr>
          </w:p>
        </w:tc>
        <w:tc>
          <w:tcPr>
            <w:tcW w:w="155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787" w:rsidRDefault="00544787" w:rsidP="00345DC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podíl</w:t>
            </w:r>
          </w:p>
        </w:tc>
        <w:tc>
          <w:tcPr>
            <w:tcW w:w="155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787" w:rsidRDefault="00544787" w:rsidP="00345DC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tj. %</w:t>
            </w:r>
          </w:p>
        </w:tc>
      </w:tr>
      <w:tr w:rsidR="00544787" w:rsidTr="00E07252">
        <w:trPr>
          <w:trHeight w:val="265"/>
        </w:trPr>
        <w:tc>
          <w:tcPr>
            <w:tcW w:w="245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544787" w:rsidTr="00E07252">
        <w:trPr>
          <w:trHeight w:val="86"/>
        </w:trPr>
        <w:tc>
          <w:tcPr>
            <w:tcW w:w="245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 Vítězslav Pivoda</w:t>
            </w:r>
          </w:p>
        </w:tc>
        <w:tc>
          <w:tcPr>
            <w:tcW w:w="27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 Machovská 467, 763 62 Tlumačov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 25.000,-</w:t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100 %</w:t>
            </w:r>
          </w:p>
        </w:tc>
      </w:tr>
    </w:tbl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t>Změny a dodatky provedené v účetním období v obchodním rejstříku:</w:t>
      </w:r>
    </w:p>
    <w:p w:rsidR="00544787" w:rsidRDefault="00544787" w:rsidP="00544787">
      <w:pPr>
        <w:autoSpaceDE w:val="0"/>
        <w:spacing w:after="0" w:line="240" w:lineRule="auto"/>
        <w:ind w:left="624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ind w:left="708"/>
        <w:jc w:val="both"/>
        <w:rPr>
          <w:rFonts w:cs="Calibri"/>
          <w:bCs/>
        </w:rPr>
      </w:pPr>
      <w:r>
        <w:rPr>
          <w:rFonts w:cs="Calibri"/>
          <w:bCs/>
        </w:rPr>
        <w:t xml:space="preserve">7. 5. 2015 došlo ke změně jednatele společnosti , kdy původní jednatel společnosti byl Václav Cibulka nar. </w:t>
      </w:r>
      <w:proofErr w:type="gramStart"/>
      <w:r>
        <w:rPr>
          <w:rFonts w:cs="Calibri"/>
          <w:bCs/>
        </w:rPr>
        <w:t>10.5.1988</w:t>
      </w:r>
      <w:proofErr w:type="gramEnd"/>
      <w:r>
        <w:rPr>
          <w:rFonts w:cs="Calibri"/>
          <w:bCs/>
        </w:rPr>
        <w:t xml:space="preserve">, bytem Legionářů 344, 261 01 Příbram. Novým  jednatelem se stal Ondřej Kollár, nar. </w:t>
      </w:r>
      <w:proofErr w:type="gramStart"/>
      <w:r>
        <w:rPr>
          <w:rFonts w:cs="Calibri"/>
          <w:bCs/>
        </w:rPr>
        <w:t>1.1.1978</w:t>
      </w:r>
      <w:proofErr w:type="gramEnd"/>
      <w:r>
        <w:rPr>
          <w:rFonts w:cs="Calibri"/>
          <w:bCs/>
        </w:rPr>
        <w:t>, bytem Masarykovo nám. 97/1, 586 01 Jihlava. Zapsáno 28.5.52015.</w:t>
      </w:r>
    </w:p>
    <w:p w:rsidR="00E07252" w:rsidRDefault="00E07252" w:rsidP="00544787">
      <w:pPr>
        <w:autoSpaceDE w:val="0"/>
        <w:spacing w:after="0" w:line="240" w:lineRule="auto"/>
        <w:ind w:left="708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ind w:left="708"/>
        <w:jc w:val="both"/>
        <w:rPr>
          <w:rFonts w:cs="Calibri"/>
          <w:bCs/>
        </w:rPr>
      </w:pPr>
      <w:r>
        <w:rPr>
          <w:rFonts w:cs="Calibri"/>
          <w:bCs/>
        </w:rPr>
        <w:t xml:space="preserve">ELITE CZECHIA, s.r.o. IČO 24254827, která </w:t>
      </w:r>
      <w:proofErr w:type="spellStart"/>
      <w:r>
        <w:rPr>
          <w:rFonts w:cs="Calibri"/>
          <w:bCs/>
        </w:rPr>
        <w:t>vlastnina</w:t>
      </w:r>
      <w:proofErr w:type="spellEnd"/>
      <w:r>
        <w:rPr>
          <w:rFonts w:cs="Calibri"/>
          <w:bCs/>
        </w:rPr>
        <w:t xml:space="preserve"> 3 základní podíly v celkové výši 25.000,- Kč, prodává </w:t>
      </w:r>
      <w:proofErr w:type="gramStart"/>
      <w:r>
        <w:rPr>
          <w:rFonts w:cs="Calibri"/>
          <w:bCs/>
        </w:rPr>
        <w:t>dne  podíly</w:t>
      </w:r>
      <w:proofErr w:type="gramEnd"/>
      <w:r>
        <w:rPr>
          <w:rFonts w:cs="Calibri"/>
          <w:bCs/>
        </w:rPr>
        <w:t xml:space="preserve"> těmto společníkům: </w:t>
      </w:r>
    </w:p>
    <w:p w:rsidR="00544787" w:rsidRDefault="00544787" w:rsidP="00544787">
      <w:pPr>
        <w:autoSpaceDE w:val="0"/>
        <w:spacing w:after="0" w:line="240" w:lineRule="auto"/>
        <w:ind w:left="708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 xml:space="preserve">Pavel </w:t>
      </w:r>
      <w:proofErr w:type="spellStart"/>
      <w:r>
        <w:rPr>
          <w:rFonts w:eastAsia="Times New Roman" w:cs="Calibri"/>
          <w:lang w:eastAsia="cs-CZ"/>
        </w:rPr>
        <w:t>Vertich</w:t>
      </w:r>
      <w:proofErr w:type="spellEnd"/>
      <w:r>
        <w:rPr>
          <w:rFonts w:eastAsia="Times New Roman" w:cs="Calibri"/>
          <w:lang w:eastAsia="cs-CZ"/>
        </w:rPr>
        <w:t xml:space="preserve">, </w:t>
      </w:r>
      <w:r>
        <w:rPr>
          <w:rFonts w:eastAsia="Times New Roman" w:cs="Calibri"/>
          <w:lang w:eastAsia="cs-CZ"/>
        </w:rPr>
        <w:tab/>
        <w:t xml:space="preserve">   </w:t>
      </w:r>
      <w:proofErr w:type="gramStart"/>
      <w:r>
        <w:rPr>
          <w:rFonts w:eastAsia="Times New Roman" w:cs="Calibri"/>
          <w:lang w:eastAsia="cs-CZ"/>
        </w:rPr>
        <w:t>7.9.1961</w:t>
      </w:r>
      <w:proofErr w:type="gramEnd"/>
      <w:r>
        <w:rPr>
          <w:rFonts w:eastAsia="Times New Roman" w:cs="Calibri"/>
          <w:lang w:eastAsia="cs-CZ"/>
        </w:rPr>
        <w:tab/>
        <w:t xml:space="preserve">Na </w:t>
      </w:r>
      <w:proofErr w:type="spellStart"/>
      <w:r>
        <w:rPr>
          <w:rFonts w:eastAsia="Times New Roman" w:cs="Calibri"/>
          <w:lang w:eastAsia="cs-CZ"/>
        </w:rPr>
        <w:t>Výpuště</w:t>
      </w:r>
      <w:proofErr w:type="spellEnd"/>
      <w:r>
        <w:rPr>
          <w:rFonts w:eastAsia="Times New Roman" w:cs="Calibri"/>
          <w:lang w:eastAsia="cs-CZ"/>
        </w:rPr>
        <w:t xml:space="preserve"> 596. Štípa, 763 14 </w:t>
      </w:r>
      <w:proofErr w:type="spellStart"/>
      <w:r>
        <w:rPr>
          <w:rFonts w:eastAsia="Times New Roman" w:cs="Calibri"/>
          <w:lang w:eastAsia="cs-CZ"/>
        </w:rPr>
        <w:t>Zlén</w:t>
      </w:r>
      <w:proofErr w:type="spellEnd"/>
    </w:p>
    <w:p w:rsidR="00544787" w:rsidRDefault="00544787" w:rsidP="00544787">
      <w:pPr>
        <w:autoSpaceDE w:val="0"/>
        <w:spacing w:after="0" w:line="240" w:lineRule="auto"/>
        <w:ind w:left="708"/>
        <w:jc w:val="both"/>
      </w:pPr>
      <w:r>
        <w:rPr>
          <w:rFonts w:eastAsia="Times New Roman" w:cs="Calibri"/>
          <w:lang w:eastAsia="cs-CZ"/>
        </w:rPr>
        <w:t xml:space="preserve">Vítězslav Pivoda  </w:t>
      </w:r>
      <w:proofErr w:type="gramStart"/>
      <w:r>
        <w:rPr>
          <w:rFonts w:eastAsia="Times New Roman" w:cs="Calibri"/>
          <w:lang w:eastAsia="cs-CZ"/>
        </w:rPr>
        <w:t>6.12.1950</w:t>
      </w:r>
      <w:proofErr w:type="gramEnd"/>
      <w:r>
        <w:rPr>
          <w:rFonts w:eastAsia="Times New Roman" w:cs="Calibri"/>
          <w:lang w:eastAsia="cs-CZ"/>
        </w:rPr>
        <w:tab/>
        <w:t>Machovská 467, 763 62 Tlumačov</w:t>
      </w:r>
    </w:p>
    <w:p w:rsidR="00544787" w:rsidRDefault="00544787" w:rsidP="00544787">
      <w:pPr>
        <w:autoSpaceDE w:val="0"/>
        <w:spacing w:after="0" w:line="240" w:lineRule="auto"/>
        <w:ind w:left="708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 Ondřej Kollár</w:t>
      </w:r>
      <w:r>
        <w:rPr>
          <w:rFonts w:eastAsia="Times New Roman" w:cs="Calibri"/>
          <w:lang w:eastAsia="cs-CZ"/>
        </w:rPr>
        <w:tab/>
        <w:t xml:space="preserve">   </w:t>
      </w:r>
      <w:proofErr w:type="gramStart"/>
      <w:r>
        <w:rPr>
          <w:rFonts w:eastAsia="Times New Roman" w:cs="Calibri"/>
          <w:lang w:eastAsia="cs-CZ"/>
        </w:rPr>
        <w:t>1.1.1978</w:t>
      </w:r>
      <w:proofErr w:type="gramEnd"/>
      <w:r>
        <w:rPr>
          <w:rFonts w:eastAsia="Times New Roman" w:cs="Calibri"/>
          <w:lang w:eastAsia="cs-CZ"/>
        </w:rPr>
        <w:tab/>
        <w:t>Masarykovo nám. 97/1, 586 01 Jihlava</w:t>
      </w:r>
    </w:p>
    <w:p w:rsidR="00544787" w:rsidRDefault="00544787" w:rsidP="00544787">
      <w:pPr>
        <w:autoSpaceDE w:val="0"/>
        <w:spacing w:after="0" w:line="240" w:lineRule="auto"/>
        <w:ind w:left="708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 xml:space="preserve">Zapsáno </w:t>
      </w:r>
      <w:proofErr w:type="gramStart"/>
      <w:r>
        <w:rPr>
          <w:rFonts w:eastAsia="Times New Roman" w:cs="Calibri"/>
          <w:lang w:eastAsia="cs-CZ"/>
        </w:rPr>
        <w:t>28.5.2015</w:t>
      </w:r>
      <w:proofErr w:type="gramEnd"/>
    </w:p>
    <w:p w:rsidR="00E07252" w:rsidRDefault="00E07252" w:rsidP="00544787">
      <w:pPr>
        <w:autoSpaceDE w:val="0"/>
        <w:spacing w:after="0" w:line="240" w:lineRule="auto"/>
        <w:ind w:left="708"/>
        <w:jc w:val="both"/>
        <w:rPr>
          <w:rFonts w:eastAsia="Times New Roman" w:cs="Calibri"/>
          <w:lang w:eastAsia="cs-CZ"/>
        </w:rPr>
      </w:pPr>
    </w:p>
    <w:p w:rsidR="00544787" w:rsidRDefault="00544787" w:rsidP="00544787">
      <w:pPr>
        <w:autoSpaceDE w:val="0"/>
        <w:spacing w:after="0" w:line="240" w:lineRule="auto"/>
        <w:ind w:left="708"/>
        <w:jc w:val="both"/>
        <w:rPr>
          <w:rFonts w:eastAsia="Times New Roman" w:cs="Calibri"/>
          <w:lang w:eastAsia="cs-CZ"/>
        </w:rPr>
      </w:pPr>
      <w:proofErr w:type="gramStart"/>
      <w:r>
        <w:rPr>
          <w:rFonts w:eastAsia="Times New Roman" w:cs="Calibri"/>
          <w:lang w:eastAsia="cs-CZ"/>
        </w:rPr>
        <w:t>12.7.2018</w:t>
      </w:r>
      <w:proofErr w:type="gramEnd"/>
      <w:r>
        <w:rPr>
          <w:rFonts w:eastAsia="Times New Roman" w:cs="Calibri"/>
          <w:lang w:eastAsia="cs-CZ"/>
        </w:rPr>
        <w:t xml:space="preserve"> došlo ke změně jednatele společnosti a novým jednatelem se stal pan Vítězslav Pivoda, nar. 6.12.1950, bytem Machovská 467, 763 62 Tlumačov.</w:t>
      </w:r>
    </w:p>
    <w:p w:rsidR="00544787" w:rsidRDefault="00544787" w:rsidP="00544787">
      <w:pPr>
        <w:autoSpaceDE w:val="0"/>
        <w:spacing w:after="0" w:line="240" w:lineRule="auto"/>
        <w:ind w:left="708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 xml:space="preserve">Společníci Pavel </w:t>
      </w:r>
      <w:proofErr w:type="spellStart"/>
      <w:r>
        <w:rPr>
          <w:rFonts w:eastAsia="Times New Roman" w:cs="Calibri"/>
          <w:lang w:eastAsia="cs-CZ"/>
        </w:rPr>
        <w:t>Vertich</w:t>
      </w:r>
      <w:proofErr w:type="spellEnd"/>
      <w:r>
        <w:rPr>
          <w:rFonts w:eastAsia="Times New Roman" w:cs="Calibri"/>
          <w:lang w:eastAsia="cs-CZ"/>
        </w:rPr>
        <w:t xml:space="preserve"> a Ondřej Kollár prodávají ke stejnému datu svůj podíl a jediným </w:t>
      </w:r>
      <w:proofErr w:type="spellStart"/>
      <w:r>
        <w:rPr>
          <w:rFonts w:eastAsia="Times New Roman" w:cs="Calibri"/>
          <w:lang w:eastAsia="cs-CZ"/>
        </w:rPr>
        <w:t>spsllčrníkem</w:t>
      </w:r>
      <w:proofErr w:type="spellEnd"/>
      <w:r>
        <w:rPr>
          <w:rFonts w:eastAsia="Times New Roman" w:cs="Calibri"/>
          <w:lang w:eastAsia="cs-CZ"/>
        </w:rPr>
        <w:t xml:space="preserve"> se tak stává pan </w:t>
      </w:r>
      <w:proofErr w:type="spellStart"/>
      <w:r>
        <w:rPr>
          <w:rFonts w:eastAsia="Times New Roman" w:cs="Calibri"/>
          <w:lang w:eastAsia="cs-CZ"/>
        </w:rPr>
        <w:t>Vítězlav</w:t>
      </w:r>
      <w:proofErr w:type="spellEnd"/>
      <w:r>
        <w:rPr>
          <w:rFonts w:eastAsia="Times New Roman" w:cs="Calibri"/>
          <w:lang w:eastAsia="cs-CZ"/>
        </w:rPr>
        <w:t xml:space="preserve"> Pivoda,</w:t>
      </w:r>
      <w:r w:rsidRPr="00FA3551">
        <w:rPr>
          <w:rFonts w:eastAsia="Times New Roman" w:cs="Calibri"/>
          <w:lang w:eastAsia="cs-CZ"/>
        </w:rPr>
        <w:t xml:space="preserve"> </w:t>
      </w:r>
      <w:r>
        <w:rPr>
          <w:rFonts w:eastAsia="Times New Roman" w:cs="Calibri"/>
          <w:lang w:eastAsia="cs-CZ"/>
        </w:rPr>
        <w:t xml:space="preserve">nar. </w:t>
      </w:r>
      <w:proofErr w:type="gramStart"/>
      <w:r>
        <w:rPr>
          <w:rFonts w:eastAsia="Times New Roman" w:cs="Calibri"/>
          <w:lang w:eastAsia="cs-CZ"/>
        </w:rPr>
        <w:t>6.12.1950</w:t>
      </w:r>
      <w:proofErr w:type="gramEnd"/>
      <w:r>
        <w:rPr>
          <w:rFonts w:eastAsia="Times New Roman" w:cs="Calibri"/>
          <w:lang w:eastAsia="cs-CZ"/>
        </w:rPr>
        <w:t>, bytem Machovská 467, 763 62 Tlumačov.</w:t>
      </w:r>
    </w:p>
    <w:p w:rsidR="00E07252" w:rsidRDefault="00E07252" w:rsidP="00544787">
      <w:pPr>
        <w:autoSpaceDE w:val="0"/>
        <w:spacing w:after="0" w:line="240" w:lineRule="auto"/>
        <w:ind w:left="708"/>
        <w:jc w:val="both"/>
        <w:rPr>
          <w:rFonts w:eastAsia="Times New Roman" w:cs="Calibri"/>
          <w:lang w:eastAsia="cs-CZ"/>
        </w:rPr>
      </w:pPr>
    </w:p>
    <w:p w:rsidR="00544787" w:rsidRDefault="00544787" w:rsidP="00544787">
      <w:pPr>
        <w:autoSpaceDE w:val="0"/>
        <w:spacing w:after="0" w:line="240" w:lineRule="auto"/>
        <w:ind w:left="708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 xml:space="preserve">30. října 2019 se mění název společnosti na </w:t>
      </w:r>
      <w:proofErr w:type="spellStart"/>
      <w:proofErr w:type="gramStart"/>
      <w:r>
        <w:rPr>
          <w:rFonts w:eastAsia="Times New Roman" w:cs="Calibri"/>
          <w:lang w:eastAsia="cs-CZ"/>
        </w:rPr>
        <w:t>Sapiente</w:t>
      </w:r>
      <w:proofErr w:type="spellEnd"/>
      <w:proofErr w:type="gramEnd"/>
      <w:r>
        <w:rPr>
          <w:rFonts w:eastAsia="Times New Roman" w:cs="Calibri"/>
          <w:lang w:eastAsia="cs-CZ"/>
        </w:rPr>
        <w:t xml:space="preserve"> – sociální podnik, s.r.o. a zároveň i adresa společnosti Příkop 843/4, Zábrdovice, 602 00 Brno</w:t>
      </w:r>
    </w:p>
    <w:p w:rsidR="00544787" w:rsidRDefault="00544787" w:rsidP="00544787">
      <w:pPr>
        <w:autoSpaceDE w:val="0"/>
        <w:spacing w:after="0" w:line="240" w:lineRule="auto"/>
        <w:ind w:left="708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 xml:space="preserve">Zapsáno </w:t>
      </w:r>
      <w:proofErr w:type="gramStart"/>
      <w:r>
        <w:rPr>
          <w:rFonts w:eastAsia="Times New Roman" w:cs="Calibri"/>
          <w:lang w:eastAsia="cs-CZ"/>
        </w:rPr>
        <w:t>30.10.2019</w:t>
      </w:r>
      <w:proofErr w:type="gramEnd"/>
    </w:p>
    <w:p w:rsidR="00544787" w:rsidRDefault="00544787" w:rsidP="00544787">
      <w:pPr>
        <w:autoSpaceDE w:val="0"/>
        <w:spacing w:after="0" w:line="240" w:lineRule="auto"/>
        <w:ind w:left="708"/>
        <w:jc w:val="both"/>
        <w:rPr>
          <w:rFonts w:eastAsia="Times New Roman" w:cs="Calibri"/>
          <w:lang w:eastAsia="cs-CZ"/>
        </w:rPr>
      </w:pPr>
    </w:p>
    <w:p w:rsidR="00544787" w:rsidRDefault="00544787" w:rsidP="00544787">
      <w:pPr>
        <w:autoSpaceDE w:val="0"/>
        <w:spacing w:after="0" w:line="240" w:lineRule="auto"/>
        <w:ind w:left="708"/>
        <w:jc w:val="both"/>
      </w:pPr>
      <w:r>
        <w:rPr>
          <w:rFonts w:eastAsia="Times New Roman" w:cs="Calibri"/>
          <w:lang w:eastAsia="cs-CZ"/>
        </w:rPr>
        <w:tab/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lastRenderedPageBreak/>
        <w:t>Organizační struktura účetní jednotky a její zásadní změny v uplynulém účetním období: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ind w:left="624"/>
        <w:jc w:val="both"/>
        <w:rPr>
          <w:rFonts w:cs="Calibri"/>
          <w:bCs/>
        </w:rPr>
      </w:pPr>
      <w:r>
        <w:rPr>
          <w:rFonts w:cs="Calibri"/>
          <w:bCs/>
        </w:rPr>
        <w:t>Netýká se.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1"/>
        <w:numPr>
          <w:ilvl w:val="0"/>
          <w:numId w:val="34"/>
        </w:numPr>
      </w:pPr>
      <w:bookmarkStart w:id="1" w:name="_Toc297121705"/>
      <w:bookmarkStart w:id="2" w:name="_Toc304191915"/>
      <w:bookmarkStart w:id="3" w:name="_Toc304191928"/>
      <w:bookmarkStart w:id="4" w:name="_Toc304192025"/>
      <w:bookmarkStart w:id="5" w:name="_Toc304192038"/>
      <w:bookmarkStart w:id="6" w:name="_Toc304294013"/>
      <w:bookmarkStart w:id="7" w:name="_Toc304294609"/>
      <w:bookmarkStart w:id="8" w:name="_Toc297025040"/>
      <w:bookmarkStart w:id="9" w:name="_Toc297025069"/>
      <w:bookmarkStart w:id="10" w:name="_Toc297025217"/>
      <w:bookmarkStart w:id="11" w:name="_Toc297025396"/>
      <w:bookmarkStart w:id="12" w:name="_Toc297025537"/>
      <w:bookmarkStart w:id="13" w:name="_Toc297029772"/>
      <w:bookmarkStart w:id="14" w:name="_Toc297029811"/>
      <w:bookmarkStart w:id="15" w:name="_Toc297106457"/>
      <w:bookmarkStart w:id="16" w:name="_Toc297112136"/>
      <w:bookmarkStart w:id="17" w:name="_Toc297117320"/>
      <w:bookmarkStart w:id="18" w:name="_Toc297117333"/>
      <w:bookmarkStart w:id="19" w:name="_Toc297117346"/>
      <w:bookmarkStart w:id="20" w:name="_Toc297117359"/>
      <w:bookmarkStart w:id="21" w:name="_Toc297117378"/>
      <w:r>
        <w:t xml:space="preserve">Majetková či smluvní spoluúčast účetní jednotky v jiných </w:t>
      </w:r>
      <w:bookmarkEnd w:id="1"/>
      <w:bookmarkEnd w:id="2"/>
      <w:bookmarkEnd w:id="3"/>
      <w:bookmarkEnd w:id="4"/>
      <w:bookmarkEnd w:id="5"/>
      <w:bookmarkEnd w:id="6"/>
      <w:bookmarkEnd w:id="7"/>
      <w:r>
        <w:t>korporacích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:rsidR="00544787" w:rsidRDefault="00544787" w:rsidP="00544787">
      <w:pPr>
        <w:autoSpaceDE w:val="0"/>
        <w:spacing w:after="0" w:line="240" w:lineRule="auto"/>
        <w:ind w:left="624"/>
        <w:jc w:val="both"/>
        <w:rPr>
          <w:rFonts w:cs="Calibri"/>
          <w:bCs/>
        </w:rPr>
      </w:pPr>
      <w:r>
        <w:rPr>
          <w:rFonts w:cs="Calibri"/>
          <w:bCs/>
        </w:rPr>
        <w:t>Netýká se.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1"/>
        <w:numPr>
          <w:ilvl w:val="0"/>
          <w:numId w:val="34"/>
        </w:numPr>
      </w:pPr>
      <w:bookmarkStart w:id="22" w:name="_Toc297025041"/>
      <w:bookmarkStart w:id="23" w:name="_Toc297025070"/>
      <w:bookmarkStart w:id="24" w:name="_Toc297025218"/>
      <w:bookmarkStart w:id="25" w:name="_Toc297025397"/>
      <w:bookmarkStart w:id="26" w:name="_Toc297025538"/>
      <w:bookmarkStart w:id="27" w:name="_Toc297029773"/>
      <w:bookmarkStart w:id="28" w:name="_Toc297029812"/>
      <w:bookmarkStart w:id="29" w:name="_Toc297106458"/>
      <w:bookmarkStart w:id="30" w:name="_Toc297112137"/>
      <w:bookmarkStart w:id="31" w:name="_Toc297117321"/>
      <w:bookmarkStart w:id="32" w:name="_Toc297117334"/>
      <w:bookmarkStart w:id="33" w:name="_Toc297117347"/>
      <w:bookmarkStart w:id="34" w:name="_Toc297117360"/>
      <w:bookmarkStart w:id="35" w:name="_Toc297117379"/>
      <w:bookmarkStart w:id="36" w:name="_Toc297121706"/>
      <w:bookmarkStart w:id="37" w:name="_Toc304191916"/>
      <w:bookmarkStart w:id="38" w:name="_Toc304191929"/>
      <w:bookmarkStart w:id="39" w:name="_Toc304192026"/>
      <w:bookmarkStart w:id="40" w:name="_Toc304192039"/>
      <w:bookmarkStart w:id="41" w:name="_Toc304294014"/>
      <w:bookmarkStart w:id="42" w:name="_Toc304294610"/>
      <w:r>
        <w:t>Zaměstnanci korporace, osobní náklady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tbl>
      <w:tblPr>
        <w:tblW w:w="8512" w:type="dxa"/>
        <w:tblInd w:w="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3"/>
        <w:gridCol w:w="2559"/>
      </w:tblGrid>
      <w:tr w:rsidR="00544787" w:rsidTr="00345DCA">
        <w:trPr>
          <w:trHeight w:val="315"/>
        </w:trPr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lang w:eastAsia="cs-CZ"/>
              </w:rPr>
              <w:t> 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787" w:rsidRDefault="00544787" w:rsidP="00345D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lang w:eastAsia="cs-CZ"/>
              </w:rPr>
              <w:t xml:space="preserve"> Sledované účetní období</w:t>
            </w:r>
          </w:p>
        </w:tc>
      </w:tr>
      <w:tr w:rsidR="00544787" w:rsidTr="00345DCA">
        <w:trPr>
          <w:trHeight w:val="300"/>
        </w:trPr>
        <w:tc>
          <w:tcPr>
            <w:tcW w:w="5953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Průměrný přepočtený počet zaměstnanců</w:t>
            </w:r>
          </w:p>
        </w:tc>
        <w:tc>
          <w:tcPr>
            <w:tcW w:w="255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E07252" w:rsidP="00E072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35</w:t>
            </w:r>
          </w:p>
        </w:tc>
      </w:tr>
      <w:tr w:rsidR="00544787" w:rsidTr="00345DCA">
        <w:trPr>
          <w:trHeight w:val="300"/>
        </w:trPr>
        <w:tc>
          <w:tcPr>
            <w:tcW w:w="5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 toho členů řídících orgánů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 w:rsidR="00544787" w:rsidTr="00345DCA">
        <w:trPr>
          <w:trHeight w:val="300"/>
        </w:trPr>
        <w:tc>
          <w:tcPr>
            <w:tcW w:w="595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Osobní náklady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E07252" w:rsidP="00E072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764775,- </w:t>
            </w:r>
          </w:p>
        </w:tc>
      </w:tr>
      <w:tr w:rsidR="00544787" w:rsidTr="00345DCA">
        <w:trPr>
          <w:trHeight w:val="300"/>
        </w:trPr>
        <w:tc>
          <w:tcPr>
            <w:tcW w:w="5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 toho členů řídících orgánů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 w:rsidR="00544787" w:rsidTr="00345DCA">
        <w:trPr>
          <w:trHeight w:val="300"/>
        </w:trPr>
        <w:tc>
          <w:tcPr>
            <w:tcW w:w="595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Odměny členům statutárních a dozorčích orgánů korporace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 w:rsidR="00544787" w:rsidTr="00345DCA">
        <w:trPr>
          <w:trHeight w:val="315"/>
        </w:trPr>
        <w:tc>
          <w:tcPr>
            <w:tcW w:w="59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Penzijní závazky bývalých členů statutárních a dozorčích orgánů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787" w:rsidRDefault="00544787" w:rsidP="00345D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</w:tbl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1"/>
        <w:numPr>
          <w:ilvl w:val="0"/>
          <w:numId w:val="34"/>
        </w:numPr>
      </w:pPr>
      <w:bookmarkStart w:id="43" w:name="_Toc297112139"/>
      <w:bookmarkStart w:id="44" w:name="_Toc297117323"/>
      <w:bookmarkStart w:id="45" w:name="_Toc297117336"/>
      <w:bookmarkStart w:id="46" w:name="_Toc297117349"/>
      <w:bookmarkStart w:id="47" w:name="_Toc297117362"/>
      <w:bookmarkStart w:id="48" w:name="_Toc297117381"/>
      <w:bookmarkStart w:id="49" w:name="_Toc297121708"/>
      <w:bookmarkStart w:id="50" w:name="_Toc304191918"/>
      <w:bookmarkStart w:id="51" w:name="_Toc304191931"/>
      <w:bookmarkStart w:id="52" w:name="_Toc304192028"/>
      <w:bookmarkStart w:id="53" w:name="_Toc304192041"/>
      <w:bookmarkStart w:id="54" w:name="_Toc304294016"/>
      <w:bookmarkStart w:id="55" w:name="_Toc304294612"/>
      <w:bookmarkStart w:id="56" w:name="_Toc297025043"/>
      <w:bookmarkStart w:id="57" w:name="_Toc297025072"/>
      <w:bookmarkStart w:id="58" w:name="_Toc297025220"/>
      <w:bookmarkStart w:id="59" w:name="_Toc297025399"/>
      <w:bookmarkStart w:id="60" w:name="_Toc297025540"/>
      <w:bookmarkStart w:id="61" w:name="_Toc297029775"/>
      <w:bookmarkStart w:id="62" w:name="_Toc297029814"/>
      <w:bookmarkStart w:id="63" w:name="_Toc297106460"/>
      <w:r>
        <w:t>Používané účetní metody, obecné účetní zásady a způsoby oceňování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bookmarkEnd w:id="56"/>
    <w:bookmarkEnd w:id="57"/>
    <w:bookmarkEnd w:id="58"/>
    <w:bookmarkEnd w:id="59"/>
    <w:bookmarkEnd w:id="60"/>
    <w:bookmarkEnd w:id="61"/>
    <w:bookmarkEnd w:id="62"/>
    <w:bookmarkEnd w:id="63"/>
    <w:p w:rsidR="00544787" w:rsidRDefault="00544787" w:rsidP="00544787">
      <w:pPr>
        <w:autoSpaceDE w:val="0"/>
        <w:spacing w:after="0" w:line="240" w:lineRule="auto"/>
        <w:ind w:left="360"/>
        <w:jc w:val="both"/>
        <w:rPr>
          <w:rFonts w:cs="Calibri"/>
          <w:bCs/>
        </w:rPr>
      </w:pPr>
      <w:r>
        <w:rPr>
          <w:rFonts w:cs="Calibri"/>
          <w:bCs/>
        </w:rPr>
        <w:t>Předkládaná účetní závěrka korporace byla zpracována na základě zákona č. 563/1991 Sb., o účetnictví, ve znění pozdějších předpisů, na základě vyhlášky č. 500/2002 Sb. a dle opatření Ministerstva financí ČR, kterými se stanoví obsah účetní závěrky pro podnikatele.</w:t>
      </w:r>
    </w:p>
    <w:p w:rsidR="00544787" w:rsidRDefault="00544787" w:rsidP="00544787">
      <w:pPr>
        <w:autoSpaceDE w:val="0"/>
        <w:spacing w:after="0" w:line="240" w:lineRule="auto"/>
        <w:rPr>
          <w:rFonts w:cs="Calibri"/>
          <w:b/>
          <w:bCs/>
          <w:sz w:val="10"/>
          <w:szCs w:val="10"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t>Použité účetní metody</w:t>
      </w:r>
    </w:p>
    <w:p w:rsidR="00544787" w:rsidRDefault="00544787" w:rsidP="00544787">
      <w:pPr>
        <w:autoSpaceDE w:val="0"/>
        <w:spacing w:after="0" w:line="240" w:lineRule="auto"/>
        <w:ind w:firstLine="624"/>
        <w:jc w:val="both"/>
        <w:rPr>
          <w:rFonts w:cs="Calibri"/>
          <w:bCs/>
        </w:rPr>
      </w:pPr>
      <w:r>
        <w:rPr>
          <w:rFonts w:cs="Calibri"/>
          <w:bCs/>
        </w:rPr>
        <w:t>Účetní jednotka účtuje způsobem B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t>Způsob odpisování</w:t>
      </w:r>
    </w:p>
    <w:p w:rsidR="00544787" w:rsidRDefault="00544787" w:rsidP="00544787">
      <w:pPr>
        <w:autoSpaceDE w:val="0"/>
        <w:spacing w:after="0" w:line="240" w:lineRule="auto"/>
        <w:ind w:firstLine="624"/>
        <w:jc w:val="both"/>
        <w:rPr>
          <w:rFonts w:cs="Calibri"/>
          <w:bCs/>
        </w:rPr>
      </w:pPr>
      <w:r>
        <w:rPr>
          <w:rFonts w:cs="Calibri"/>
          <w:bCs/>
        </w:rPr>
        <w:t>Je stanoven účetní odpis pro jednotlivé druhy majetku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bookmarkStart w:id="64" w:name="_Toc297025048"/>
      <w:bookmarkStart w:id="65" w:name="_Toc297025077"/>
      <w:bookmarkStart w:id="66" w:name="_Toc297025225"/>
      <w:bookmarkStart w:id="67" w:name="_Toc297025404"/>
      <w:bookmarkStart w:id="68" w:name="_Toc297025545"/>
      <w:bookmarkStart w:id="69" w:name="_Toc297029780"/>
      <w:bookmarkStart w:id="70" w:name="_Toc297029819"/>
      <w:bookmarkStart w:id="71" w:name="_Toc297106465"/>
      <w:r>
        <w:t>Informace o odchylkách od metod podle § 7 odst. 5 zákona o účetnictví s uvedením jejich vlivu na majetek a závazky, na finanční situaci a výsledek hospodaření účetní jednotky</w:t>
      </w:r>
    </w:p>
    <w:p w:rsidR="00544787" w:rsidRDefault="00544787" w:rsidP="00544787">
      <w:pPr>
        <w:autoSpaceDE w:val="0"/>
        <w:spacing w:after="0" w:line="240" w:lineRule="auto"/>
        <w:ind w:left="624"/>
        <w:jc w:val="both"/>
        <w:rPr>
          <w:rFonts w:cs="Calibri"/>
          <w:bCs/>
        </w:rPr>
      </w:pPr>
      <w:r>
        <w:rPr>
          <w:rFonts w:cs="Calibri"/>
          <w:bCs/>
        </w:rPr>
        <w:t>Netýká se.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t>Způsob stanovení opravných položek a oprávek k majetku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544787" w:rsidRDefault="00544787" w:rsidP="00544787">
      <w:pPr>
        <w:autoSpaceDE w:val="0"/>
        <w:spacing w:after="0" w:line="240" w:lineRule="auto"/>
        <w:ind w:firstLine="624"/>
        <w:jc w:val="both"/>
        <w:rPr>
          <w:rFonts w:cs="Calibri"/>
          <w:bCs/>
        </w:rPr>
      </w:pPr>
      <w:r>
        <w:rPr>
          <w:rFonts w:cs="Calibri"/>
          <w:bCs/>
        </w:rPr>
        <w:t>Netýká se.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E07252" w:rsidRDefault="00E07252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bookmarkStart w:id="72" w:name="_Toc297025049"/>
      <w:bookmarkStart w:id="73" w:name="_Toc297025078"/>
      <w:bookmarkStart w:id="74" w:name="_Toc297025226"/>
      <w:bookmarkStart w:id="75" w:name="_Toc297025405"/>
      <w:bookmarkStart w:id="76" w:name="_Toc297025546"/>
      <w:bookmarkStart w:id="77" w:name="_Toc297029781"/>
      <w:bookmarkStart w:id="78" w:name="_Toc297029820"/>
      <w:bookmarkStart w:id="79" w:name="_Toc297106466"/>
      <w:r>
        <w:lastRenderedPageBreak/>
        <w:t>Přepočet údajů v cizích měnách na českou měnu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544787" w:rsidRDefault="00544787" w:rsidP="00544787">
      <w:pPr>
        <w:autoSpaceDE w:val="0"/>
        <w:spacing w:after="0" w:line="240" w:lineRule="auto"/>
        <w:ind w:left="624"/>
        <w:jc w:val="both"/>
        <w:rPr>
          <w:rFonts w:cs="Calibri"/>
          <w:bCs/>
        </w:rPr>
      </w:pPr>
      <w:r>
        <w:rPr>
          <w:rFonts w:cs="Calibri"/>
          <w:bCs/>
        </w:rPr>
        <w:t>Netýká se.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rPr>
          <w:rStyle w:val="Nadpis2Char"/>
          <w:b/>
          <w:bCs/>
        </w:rPr>
        <w:t>Přijaté dotace</w:t>
      </w:r>
      <w:r>
        <w:rPr>
          <w:rStyle w:val="Nadpis2Char"/>
          <w:b/>
        </w:rPr>
        <w:t xml:space="preserve"> na investiční a provozní účely</w:t>
      </w:r>
    </w:p>
    <w:p w:rsidR="00544787" w:rsidRDefault="00544787" w:rsidP="00544787">
      <w:pPr>
        <w:autoSpaceDE w:val="0"/>
        <w:spacing w:after="0" w:line="240" w:lineRule="auto"/>
        <w:ind w:left="624"/>
        <w:jc w:val="both"/>
        <w:rPr>
          <w:rFonts w:cs="Calibri"/>
          <w:bCs/>
        </w:rPr>
      </w:pPr>
      <w:r>
        <w:rPr>
          <w:rFonts w:cs="Calibri"/>
          <w:bCs/>
        </w:rPr>
        <w:t>Byl poskytnut příspěvek na podporu zaměstnávání osob se zdravotním postižením na chráněném pracovním  místě za celý rok 202</w:t>
      </w:r>
      <w:r w:rsidR="00E07252">
        <w:rPr>
          <w:rFonts w:cs="Calibri"/>
          <w:bCs/>
        </w:rPr>
        <w:t>1</w:t>
      </w:r>
      <w:r>
        <w:rPr>
          <w:rFonts w:cs="Calibri"/>
          <w:bCs/>
        </w:rPr>
        <w:t xml:space="preserve"> </w:t>
      </w:r>
      <w:proofErr w:type="gramStart"/>
      <w:r>
        <w:rPr>
          <w:rFonts w:cs="Calibri"/>
          <w:bCs/>
        </w:rPr>
        <w:t>ve</w:t>
      </w:r>
      <w:proofErr w:type="gramEnd"/>
      <w:r>
        <w:rPr>
          <w:rFonts w:cs="Calibri"/>
          <w:bCs/>
        </w:rPr>
        <w:t xml:space="preserve"> celkové výši </w:t>
      </w:r>
      <w:r w:rsidR="00E07252">
        <w:rPr>
          <w:rFonts w:cs="Calibri"/>
          <w:bCs/>
        </w:rPr>
        <w:t>2.943.566</w:t>
      </w:r>
      <w:r>
        <w:rPr>
          <w:rFonts w:cs="Calibri"/>
          <w:bCs/>
        </w:rPr>
        <w:t>,- Kč.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rPr>
          <w:rStyle w:val="Nadpis2Char"/>
          <w:b/>
        </w:rPr>
        <w:t>Splatné závazky pojistného na sociální zabezpečení a příspěvku na státní politiku zaměstnanosti,</w:t>
      </w:r>
      <w:r>
        <w:rPr>
          <w:rStyle w:val="Nadpis2Char"/>
          <w:b/>
          <w:bCs/>
        </w:rPr>
        <w:t xml:space="preserve"> výše</w:t>
      </w:r>
      <w:r>
        <w:t xml:space="preserve"> splatných závazků veřejného zdravotního pojištění a splatné daňové nedoplatky</w:t>
      </w:r>
    </w:p>
    <w:p w:rsidR="00544787" w:rsidRDefault="00544787" w:rsidP="00544787">
      <w:pPr>
        <w:autoSpaceDE w:val="0"/>
        <w:spacing w:after="0" w:line="240" w:lineRule="auto"/>
        <w:ind w:left="624"/>
        <w:jc w:val="both"/>
        <w:rPr>
          <w:rFonts w:cs="Calibri"/>
          <w:bCs/>
        </w:rPr>
      </w:pPr>
      <w:r>
        <w:rPr>
          <w:rFonts w:cs="Calibri"/>
          <w:bCs/>
        </w:rPr>
        <w:t>Netýká se.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1"/>
        <w:numPr>
          <w:ilvl w:val="0"/>
          <w:numId w:val="34"/>
        </w:numPr>
      </w:pPr>
      <w:bookmarkStart w:id="80" w:name="_Toc297112141"/>
      <w:bookmarkStart w:id="81" w:name="_Toc297117325"/>
      <w:bookmarkStart w:id="82" w:name="_Toc297117338"/>
      <w:bookmarkStart w:id="83" w:name="_Toc297117351"/>
      <w:bookmarkStart w:id="84" w:name="_Toc297117364"/>
      <w:bookmarkStart w:id="85" w:name="_Toc297117383"/>
      <w:bookmarkStart w:id="86" w:name="_Toc297121710"/>
      <w:bookmarkStart w:id="87" w:name="_Toc304191920"/>
      <w:bookmarkStart w:id="88" w:name="_Toc304191933"/>
      <w:bookmarkStart w:id="89" w:name="_Toc304192030"/>
      <w:bookmarkStart w:id="90" w:name="_Toc304192043"/>
      <w:bookmarkStart w:id="91" w:name="_Toc304294018"/>
      <w:bookmarkStart w:id="92" w:name="_Toc304294614"/>
      <w:r>
        <w:t>Informace k položkám majetku a závazků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544787" w:rsidRDefault="00544787" w:rsidP="00544787">
      <w:pPr>
        <w:autoSpaceDE w:val="0"/>
        <w:spacing w:after="0" w:line="240" w:lineRule="auto"/>
        <w:rPr>
          <w:rFonts w:cs="Calibri"/>
          <w:b/>
          <w:bCs/>
        </w:rPr>
      </w:pPr>
    </w:p>
    <w:p w:rsidR="00544787" w:rsidRDefault="00544787" w:rsidP="00544787">
      <w:pPr>
        <w:autoSpaceDE w:val="0"/>
        <w:spacing w:after="0" w:line="240" w:lineRule="auto"/>
        <w:rPr>
          <w:rFonts w:cs="Calibri"/>
          <w:b/>
          <w:bCs/>
          <w:sz w:val="10"/>
          <w:szCs w:val="10"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t>Pohledávky a závazky po lhůtě splatnosti</w:t>
      </w:r>
    </w:p>
    <w:p w:rsidR="00544787" w:rsidRDefault="00544787" w:rsidP="00544787">
      <w:pPr>
        <w:autoSpaceDE w:val="0"/>
        <w:spacing w:after="0" w:line="240" w:lineRule="auto"/>
        <w:ind w:firstLine="624"/>
        <w:jc w:val="both"/>
        <w:rPr>
          <w:rFonts w:cs="Calibri"/>
          <w:bCs/>
        </w:rPr>
      </w:pPr>
      <w:r>
        <w:rPr>
          <w:rFonts w:cs="Calibri"/>
          <w:bCs/>
        </w:rPr>
        <w:t>Netýká se.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t>Pohledávky a závazky, které k rozvahovému dni mají splatnost delší než 5 let</w:t>
      </w:r>
    </w:p>
    <w:p w:rsidR="00544787" w:rsidRDefault="00544787" w:rsidP="00544787">
      <w:pPr>
        <w:autoSpaceDE w:val="0"/>
        <w:spacing w:after="0" w:line="240" w:lineRule="auto"/>
        <w:ind w:firstLine="624"/>
        <w:jc w:val="both"/>
        <w:rPr>
          <w:rFonts w:cs="Calibri"/>
          <w:bCs/>
        </w:rPr>
      </w:pPr>
      <w:r>
        <w:rPr>
          <w:rFonts w:cs="Calibri"/>
          <w:bCs/>
        </w:rPr>
        <w:t>Netýká se.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t>Dlouhodobý majetek pořízený formou finančního či operačního pronájmu</w:t>
      </w:r>
    </w:p>
    <w:p w:rsidR="00544787" w:rsidRDefault="00544787" w:rsidP="00544787">
      <w:pPr>
        <w:autoSpaceDE w:val="0"/>
        <w:spacing w:after="0" w:line="240" w:lineRule="auto"/>
        <w:ind w:firstLine="624"/>
        <w:jc w:val="both"/>
        <w:rPr>
          <w:rFonts w:cs="Calibri"/>
          <w:bCs/>
        </w:rPr>
      </w:pPr>
      <w:r>
        <w:rPr>
          <w:rFonts w:cs="Calibri"/>
          <w:bCs/>
        </w:rPr>
        <w:t>Netýká se.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pStyle w:val="Nadpis2"/>
        <w:numPr>
          <w:ilvl w:val="1"/>
          <w:numId w:val="34"/>
        </w:numPr>
      </w:pPr>
      <w:r>
        <w:t>Rozpis majetku zatíženého zástavním právem nebo věcným břemenem</w:t>
      </w:r>
      <w:r>
        <w:tab/>
      </w:r>
    </w:p>
    <w:p w:rsidR="00544787" w:rsidRDefault="00544787" w:rsidP="00544787">
      <w:pPr>
        <w:autoSpaceDE w:val="0"/>
        <w:spacing w:after="0" w:line="240" w:lineRule="auto"/>
        <w:ind w:firstLine="624"/>
        <w:jc w:val="both"/>
        <w:rPr>
          <w:rFonts w:cs="Calibri"/>
          <w:bCs/>
        </w:rPr>
      </w:pPr>
      <w:r>
        <w:rPr>
          <w:rFonts w:cs="Calibri"/>
          <w:bCs/>
        </w:rPr>
        <w:t>Netýká se.</w:t>
      </w: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jc w:val="both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Sestaveno dne:  </w:t>
      </w:r>
      <w:proofErr w:type="gramStart"/>
      <w:r w:rsidR="00E07252">
        <w:rPr>
          <w:rFonts w:cs="Calibri"/>
          <w:bCs/>
        </w:rPr>
        <w:t>30</w:t>
      </w:r>
      <w:r>
        <w:rPr>
          <w:rFonts w:cs="Calibri"/>
          <w:bCs/>
        </w:rPr>
        <w:t>.</w:t>
      </w:r>
      <w:r w:rsidR="00E07252">
        <w:rPr>
          <w:rFonts w:cs="Calibri"/>
          <w:bCs/>
        </w:rPr>
        <w:t>6</w:t>
      </w:r>
      <w:r>
        <w:rPr>
          <w:rFonts w:cs="Calibri"/>
          <w:bCs/>
        </w:rPr>
        <w:t>.202</w:t>
      </w:r>
      <w:r w:rsidR="00E07252">
        <w:rPr>
          <w:rFonts w:cs="Calibri"/>
          <w:bCs/>
        </w:rPr>
        <w:t>2</w:t>
      </w:r>
      <w:proofErr w:type="gramEnd"/>
    </w:p>
    <w:p w:rsidR="00544787" w:rsidRDefault="00544787" w:rsidP="00544787">
      <w:pPr>
        <w:autoSpaceDE w:val="0"/>
        <w:spacing w:after="0" w:line="240" w:lineRule="auto"/>
        <w:rPr>
          <w:rFonts w:cs="Calibri"/>
          <w:bCs/>
        </w:rPr>
      </w:pPr>
    </w:p>
    <w:p w:rsidR="00544787" w:rsidRDefault="00544787" w:rsidP="00544787">
      <w:pPr>
        <w:autoSpaceDE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Sestavil: Vítězslav Pivoda</w:t>
      </w:r>
    </w:p>
    <w:p w:rsidR="00544787" w:rsidRDefault="00544787" w:rsidP="00544787"/>
    <w:p w:rsidR="00544787" w:rsidRDefault="00544787" w:rsidP="00544787"/>
    <w:p w:rsidR="00544787" w:rsidRDefault="00544787" w:rsidP="00544787"/>
    <w:p w:rsidR="00544787" w:rsidRDefault="00544787" w:rsidP="00544787"/>
    <w:p w:rsidR="00E46940" w:rsidRDefault="00E46940">
      <w:pPr>
        <w:autoSpaceDE w:val="0"/>
        <w:spacing w:after="0" w:line="240" w:lineRule="auto"/>
      </w:pPr>
    </w:p>
    <w:sectPr w:rsidR="00E469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D40" w:rsidRDefault="00B71D40">
      <w:pPr>
        <w:spacing w:after="0" w:line="240" w:lineRule="auto"/>
      </w:pPr>
      <w:r>
        <w:separator/>
      </w:r>
    </w:p>
  </w:endnote>
  <w:endnote w:type="continuationSeparator" w:id="0">
    <w:p w:rsidR="00B71D40" w:rsidRDefault="00B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94" w:rsidRDefault="0049643E">
    <w:pPr>
      <w:pStyle w:val="Zpat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E07252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:rsidR="00713194" w:rsidRDefault="00B71D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D40" w:rsidRDefault="00B71D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71D40" w:rsidRDefault="00B7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94" w:rsidRDefault="0049643E">
    <w:pPr>
      <w:pStyle w:val="Zhlav"/>
      <w:tabs>
        <w:tab w:val="left" w:pos="2580"/>
        <w:tab w:val="left" w:pos="2985"/>
      </w:tabs>
      <w:spacing w:after="120" w:line="276" w:lineRule="auto"/>
      <w:jc w:val="right"/>
    </w:pPr>
    <w:r>
      <w:rPr>
        <w:b/>
        <w:bCs/>
        <w:sz w:val="18"/>
        <w:szCs w:val="18"/>
      </w:rPr>
      <w:t>Příloha v účetní závěrce ve zkráceném rozsahu</w:t>
    </w:r>
  </w:p>
  <w:p w:rsidR="00713194" w:rsidRDefault="0049643E">
    <w:pPr>
      <w:pStyle w:val="Zhlav"/>
      <w:tabs>
        <w:tab w:val="left" w:pos="2580"/>
        <w:tab w:val="left" w:pos="2985"/>
      </w:tabs>
      <w:spacing w:after="120" w:line="276" w:lineRule="auto"/>
      <w:jc w:val="right"/>
    </w:pPr>
    <w:r>
      <w:rPr>
        <w:sz w:val="18"/>
        <w:szCs w:val="18"/>
      </w:rPr>
      <w:t xml:space="preserve">Korporace </w:t>
    </w:r>
    <w:proofErr w:type="spellStart"/>
    <w:r>
      <w:rPr>
        <w:sz w:val="18"/>
        <w:szCs w:val="18"/>
      </w:rPr>
      <w:t>Sapiente</w:t>
    </w:r>
    <w:proofErr w:type="spellEnd"/>
    <w:r>
      <w:rPr>
        <w:sz w:val="18"/>
        <w:szCs w:val="18"/>
      </w:rPr>
      <w:t xml:space="preserve"> - sociální podnik s.r.o.</w:t>
    </w:r>
  </w:p>
  <w:p w:rsidR="00713194" w:rsidRDefault="0049643E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</w:pPr>
    <w:r>
      <w:rPr>
        <w:sz w:val="18"/>
        <w:szCs w:val="18"/>
      </w:rPr>
      <w:t xml:space="preserve">ke dni </w:t>
    </w:r>
    <w:proofErr w:type="gramStart"/>
    <w:r>
      <w:rPr>
        <w:sz w:val="18"/>
        <w:szCs w:val="18"/>
      </w:rPr>
      <w:t>31.12.202</w:t>
    </w:r>
    <w:r w:rsidR="00E07252">
      <w:rPr>
        <w:sz w:val="18"/>
        <w:szCs w:val="18"/>
      </w:rPr>
      <w:t>1</w:t>
    </w:r>
    <w:proofErr w:type="gramEnd"/>
  </w:p>
  <w:p w:rsidR="00713194" w:rsidRDefault="00B71D4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0147"/>
    <w:multiLevelType w:val="multilevel"/>
    <w:tmpl w:val="6A84BB20"/>
    <w:styleLink w:val="WWOutlineListStyle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6EB2208"/>
    <w:multiLevelType w:val="multilevel"/>
    <w:tmpl w:val="807CAF60"/>
    <w:styleLink w:val="WWOutlineListStyle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84C0036"/>
    <w:multiLevelType w:val="multilevel"/>
    <w:tmpl w:val="9AF8C8CA"/>
    <w:styleLink w:val="WWOutlineListStyl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DBE6416"/>
    <w:multiLevelType w:val="multilevel"/>
    <w:tmpl w:val="B4AA731C"/>
    <w:styleLink w:val="WWOutlineListStyl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EF320DF"/>
    <w:multiLevelType w:val="multilevel"/>
    <w:tmpl w:val="9EC0D074"/>
    <w:styleLink w:val="WWOutlineListStyle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15DC427F"/>
    <w:multiLevelType w:val="multilevel"/>
    <w:tmpl w:val="9C90BBB8"/>
    <w:styleLink w:val="WWOutlineListStyl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BB934A1"/>
    <w:multiLevelType w:val="multilevel"/>
    <w:tmpl w:val="9CCE0450"/>
    <w:styleLink w:val="WWOutlineListStyle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F872ACC"/>
    <w:multiLevelType w:val="multilevel"/>
    <w:tmpl w:val="F9026546"/>
    <w:styleLink w:val="WWOutlineListStyle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1986EE6"/>
    <w:multiLevelType w:val="multilevel"/>
    <w:tmpl w:val="6D7830BC"/>
    <w:styleLink w:val="WWOutlineListStyle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6B70370"/>
    <w:multiLevelType w:val="multilevel"/>
    <w:tmpl w:val="04CC6246"/>
    <w:styleLink w:val="WWOutlineListStyle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76A580C"/>
    <w:multiLevelType w:val="multilevel"/>
    <w:tmpl w:val="25E07196"/>
    <w:styleLink w:val="WWOutlineListStyle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FD12B75"/>
    <w:multiLevelType w:val="hybridMultilevel"/>
    <w:tmpl w:val="B2A29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E2B89"/>
    <w:multiLevelType w:val="multilevel"/>
    <w:tmpl w:val="E5C67CB8"/>
    <w:styleLink w:val="WWOutlineListStyl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79B7602"/>
    <w:multiLevelType w:val="multilevel"/>
    <w:tmpl w:val="0606512E"/>
    <w:styleLink w:val="WWOutlineListStyl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A9117AA"/>
    <w:multiLevelType w:val="multilevel"/>
    <w:tmpl w:val="26725184"/>
    <w:styleLink w:val="WWOutlineListStyl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EC9691C"/>
    <w:multiLevelType w:val="multilevel"/>
    <w:tmpl w:val="4776EF88"/>
    <w:styleLink w:val="WWOutlineListStyl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41824F61"/>
    <w:multiLevelType w:val="multilevel"/>
    <w:tmpl w:val="088E84A2"/>
    <w:styleLink w:val="WWOutlineListStyle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36F44CB"/>
    <w:multiLevelType w:val="multilevel"/>
    <w:tmpl w:val="C5CE2A00"/>
    <w:styleLink w:val="WWOutlineListStyle31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>
    <w:nsid w:val="477E6496"/>
    <w:multiLevelType w:val="multilevel"/>
    <w:tmpl w:val="18249A96"/>
    <w:styleLink w:val="WWOutlineListStyle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18234EE"/>
    <w:multiLevelType w:val="multilevel"/>
    <w:tmpl w:val="A5729CF6"/>
    <w:styleLink w:val="WWOutlineListStyle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2FE115B"/>
    <w:multiLevelType w:val="multilevel"/>
    <w:tmpl w:val="2928704C"/>
    <w:styleLink w:val="WWOutlineListStyl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4D115FD"/>
    <w:multiLevelType w:val="multilevel"/>
    <w:tmpl w:val="9A181ADC"/>
    <w:styleLink w:val="Outlin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2">
    <w:nsid w:val="58642A48"/>
    <w:multiLevelType w:val="multilevel"/>
    <w:tmpl w:val="8B5CA9A4"/>
    <w:styleLink w:val="WWOutlineListStyle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C5217F"/>
    <w:multiLevelType w:val="multilevel"/>
    <w:tmpl w:val="5FA6EA40"/>
    <w:styleLink w:val="WWOutlineListStyl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A0537D2"/>
    <w:multiLevelType w:val="multilevel"/>
    <w:tmpl w:val="42FE6CFA"/>
    <w:styleLink w:val="WWOutlineListStyl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604A5278"/>
    <w:multiLevelType w:val="multilevel"/>
    <w:tmpl w:val="FE64EE26"/>
    <w:styleLink w:val="WWOutlineListStyl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61136767"/>
    <w:multiLevelType w:val="multilevel"/>
    <w:tmpl w:val="54A6BDC6"/>
    <w:styleLink w:val="WWOutlineList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64457EE6"/>
    <w:multiLevelType w:val="multilevel"/>
    <w:tmpl w:val="017E90CA"/>
    <w:styleLink w:val="WWOutlineListStyl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66DC4E5A"/>
    <w:multiLevelType w:val="multilevel"/>
    <w:tmpl w:val="3DDC7E54"/>
    <w:styleLink w:val="WWOutlineListStyle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6D300F85"/>
    <w:multiLevelType w:val="multilevel"/>
    <w:tmpl w:val="352EA244"/>
    <w:styleLink w:val="WWOutlineListStyle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6D5B7B36"/>
    <w:multiLevelType w:val="multilevel"/>
    <w:tmpl w:val="44FABAEE"/>
    <w:styleLink w:val="WWOutlineListStyl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6FD344F7"/>
    <w:multiLevelType w:val="multilevel"/>
    <w:tmpl w:val="FC8C280A"/>
    <w:styleLink w:val="WWOutlineListStyle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40E0D8F"/>
    <w:multiLevelType w:val="multilevel"/>
    <w:tmpl w:val="9B78BA12"/>
    <w:styleLink w:val="WWOutlineListSty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A3D427F"/>
    <w:multiLevelType w:val="multilevel"/>
    <w:tmpl w:val="A4C0C676"/>
    <w:styleLink w:val="WWOutline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CF519C3"/>
    <w:multiLevelType w:val="multilevel"/>
    <w:tmpl w:val="2D30D14C"/>
    <w:styleLink w:val="WWOutlineListStyl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30"/>
  </w:num>
  <w:num w:numId="5">
    <w:abstractNumId w:val="31"/>
  </w:num>
  <w:num w:numId="6">
    <w:abstractNumId w:val="14"/>
  </w:num>
  <w:num w:numId="7">
    <w:abstractNumId w:val="19"/>
  </w:num>
  <w:num w:numId="8">
    <w:abstractNumId w:val="0"/>
  </w:num>
  <w:num w:numId="9">
    <w:abstractNumId w:val="9"/>
  </w:num>
  <w:num w:numId="10">
    <w:abstractNumId w:val="23"/>
  </w:num>
  <w:num w:numId="11">
    <w:abstractNumId w:val="8"/>
  </w:num>
  <w:num w:numId="12">
    <w:abstractNumId w:val="5"/>
  </w:num>
  <w:num w:numId="13">
    <w:abstractNumId w:val="1"/>
  </w:num>
  <w:num w:numId="14">
    <w:abstractNumId w:val="12"/>
  </w:num>
  <w:num w:numId="15">
    <w:abstractNumId w:val="7"/>
  </w:num>
  <w:num w:numId="16">
    <w:abstractNumId w:val="21"/>
  </w:num>
  <w:num w:numId="17">
    <w:abstractNumId w:val="27"/>
  </w:num>
  <w:num w:numId="18">
    <w:abstractNumId w:val="6"/>
  </w:num>
  <w:num w:numId="19">
    <w:abstractNumId w:val="25"/>
  </w:num>
  <w:num w:numId="20">
    <w:abstractNumId w:val="22"/>
  </w:num>
  <w:num w:numId="21">
    <w:abstractNumId w:val="15"/>
  </w:num>
  <w:num w:numId="22">
    <w:abstractNumId w:val="28"/>
  </w:num>
  <w:num w:numId="23">
    <w:abstractNumId w:val="34"/>
  </w:num>
  <w:num w:numId="24">
    <w:abstractNumId w:val="29"/>
  </w:num>
  <w:num w:numId="25">
    <w:abstractNumId w:val="24"/>
  </w:num>
  <w:num w:numId="26">
    <w:abstractNumId w:val="10"/>
  </w:num>
  <w:num w:numId="27">
    <w:abstractNumId w:val="3"/>
  </w:num>
  <w:num w:numId="28">
    <w:abstractNumId w:val="18"/>
  </w:num>
  <w:num w:numId="29">
    <w:abstractNumId w:val="2"/>
  </w:num>
  <w:num w:numId="30">
    <w:abstractNumId w:val="13"/>
  </w:num>
  <w:num w:numId="31">
    <w:abstractNumId w:val="32"/>
  </w:num>
  <w:num w:numId="32">
    <w:abstractNumId w:val="26"/>
  </w:num>
  <w:num w:numId="33">
    <w:abstractNumId w:val="33"/>
  </w:num>
  <w:num w:numId="34">
    <w:abstractNumId w:val="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46940"/>
    <w:rsid w:val="00190E22"/>
    <w:rsid w:val="00436300"/>
    <w:rsid w:val="0049643E"/>
    <w:rsid w:val="00544787"/>
    <w:rsid w:val="00B71D40"/>
    <w:rsid w:val="00E07252"/>
    <w:rsid w:val="00E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Odstavecseseznamem"/>
    <w:next w:val="Normln"/>
    <w:pPr>
      <w:numPr>
        <w:numId w:val="1"/>
      </w:numPr>
      <w:autoSpaceDE w:val="0"/>
      <w:spacing w:after="0" w:line="240" w:lineRule="auto"/>
      <w:outlineLvl w:val="0"/>
    </w:pPr>
    <w:rPr>
      <w:rFonts w:cs="Calibri"/>
      <w:b/>
      <w:bCs/>
    </w:rPr>
  </w:style>
  <w:style w:type="paragraph" w:styleId="Nadpis2">
    <w:name w:val="heading 2"/>
    <w:basedOn w:val="Odstavecseseznamem"/>
    <w:next w:val="Normln"/>
    <w:pPr>
      <w:numPr>
        <w:ilvl w:val="1"/>
        <w:numId w:val="1"/>
      </w:numPr>
      <w:autoSpaceDE w:val="0"/>
      <w:spacing w:after="0" w:line="240" w:lineRule="auto"/>
      <w:outlineLvl w:val="1"/>
    </w:pPr>
    <w:rPr>
      <w:rFonts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31">
    <w:name w:val="WW_OutlineListStyle_31"/>
    <w:basedOn w:val="Bezseznamu"/>
    <w:pPr>
      <w:numPr>
        <w:numId w:val="1"/>
      </w:numPr>
    </w:pPr>
  </w:style>
  <w:style w:type="paragraph" w:styleId="Obsah1">
    <w:name w:val="toc 1"/>
    <w:basedOn w:val="Normln"/>
    <w:next w:val="Normln"/>
    <w:autoRedefine/>
    <w:pPr>
      <w:tabs>
        <w:tab w:val="left" w:pos="660"/>
        <w:tab w:val="right" w:leader="dot" w:pos="9062"/>
      </w:tabs>
      <w:spacing w:after="100"/>
    </w:pPr>
    <w:rPr>
      <w:sz w:val="18"/>
      <w:szCs w:val="18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</w:pPr>
  </w:style>
  <w:style w:type="paragraph" w:styleId="Bezmezer">
    <w:name w:val="No Spacing"/>
    <w:pPr>
      <w:suppressAutoHyphens/>
      <w:spacing w:after="0" w:line="240" w:lineRule="auto"/>
    </w:pPr>
  </w:style>
  <w:style w:type="paragraph" w:customStyle="1" w:styleId="ContentsHeading">
    <w:name w:val="Contents Heading"/>
    <w:basedOn w:val="Nadpis1"/>
    <w:next w:val="Normln"/>
    <w:pPr>
      <w:keepNext/>
      <w:keepLines/>
      <w:numPr>
        <w:numId w:val="0"/>
      </w:numPr>
      <w:autoSpaceDE/>
      <w:spacing w:before="480" w:after="200" w:line="276" w:lineRule="auto"/>
    </w:pPr>
    <w:rPr>
      <w:rFonts w:ascii="Cambria" w:eastAsia="Times New Roman" w:hAnsi="Cambria" w:cs="Times New Roman"/>
      <w:color w:val="365F91"/>
      <w:sz w:val="28"/>
      <w:szCs w:val="28"/>
      <w:lang w:eastAsia="cs-CZ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1">
    <w:name w:val="Contents 1"/>
    <w:basedOn w:val="Normln"/>
    <w:next w:val="Normln"/>
    <w:autoRedefine/>
    <w:pPr>
      <w:tabs>
        <w:tab w:val="left" w:pos="567"/>
        <w:tab w:val="right" w:leader="dot" w:pos="9062"/>
      </w:tabs>
      <w:spacing w:after="100" w:line="240" w:lineRule="auto"/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cs="Calibri"/>
      <w:b/>
      <w:bCs/>
    </w:rPr>
  </w:style>
  <w:style w:type="character" w:customStyle="1" w:styleId="Nadpis2Char">
    <w:name w:val="Nadpis 2 Char"/>
    <w:basedOn w:val="Standardnpsmoodstavce"/>
    <w:rPr>
      <w:rFonts w:cs="Calibri"/>
      <w:b/>
      <w:bCs/>
    </w:rPr>
  </w:style>
  <w:style w:type="character" w:customStyle="1" w:styleId="BezmezerChar">
    <w:name w:val="Bez mezer Cha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OutlineListStyle30">
    <w:name w:val="WW_OutlineListStyle_30"/>
    <w:basedOn w:val="Bezseznamu"/>
    <w:pPr>
      <w:numPr>
        <w:numId w:val="2"/>
      </w:numPr>
    </w:pPr>
  </w:style>
  <w:style w:type="numbering" w:customStyle="1" w:styleId="WWOutlineListStyle29">
    <w:name w:val="WW_OutlineListStyle_29"/>
    <w:basedOn w:val="Bezseznamu"/>
    <w:pPr>
      <w:numPr>
        <w:numId w:val="3"/>
      </w:numPr>
    </w:pPr>
  </w:style>
  <w:style w:type="numbering" w:customStyle="1" w:styleId="WWOutlineListStyle28">
    <w:name w:val="WW_OutlineListStyle_28"/>
    <w:basedOn w:val="Bezseznamu"/>
    <w:pPr>
      <w:numPr>
        <w:numId w:val="4"/>
      </w:numPr>
    </w:pPr>
  </w:style>
  <w:style w:type="numbering" w:customStyle="1" w:styleId="WWOutlineListStyle27">
    <w:name w:val="WW_OutlineListStyle_27"/>
    <w:basedOn w:val="Bezseznamu"/>
    <w:pPr>
      <w:numPr>
        <w:numId w:val="5"/>
      </w:numPr>
    </w:pPr>
  </w:style>
  <w:style w:type="numbering" w:customStyle="1" w:styleId="WWOutlineListStyle26">
    <w:name w:val="WW_OutlineListStyle_26"/>
    <w:basedOn w:val="Bezseznamu"/>
    <w:pPr>
      <w:numPr>
        <w:numId w:val="6"/>
      </w:numPr>
    </w:pPr>
  </w:style>
  <w:style w:type="numbering" w:customStyle="1" w:styleId="WWOutlineListStyle25">
    <w:name w:val="WW_OutlineListStyle_25"/>
    <w:basedOn w:val="Bezseznamu"/>
    <w:pPr>
      <w:numPr>
        <w:numId w:val="7"/>
      </w:numPr>
    </w:pPr>
  </w:style>
  <w:style w:type="numbering" w:customStyle="1" w:styleId="WWOutlineListStyle24">
    <w:name w:val="WW_OutlineListStyle_24"/>
    <w:basedOn w:val="Bezseznamu"/>
    <w:pPr>
      <w:numPr>
        <w:numId w:val="8"/>
      </w:numPr>
    </w:pPr>
  </w:style>
  <w:style w:type="numbering" w:customStyle="1" w:styleId="WWOutlineListStyle23">
    <w:name w:val="WW_OutlineListStyle_23"/>
    <w:basedOn w:val="Bezseznamu"/>
    <w:pPr>
      <w:numPr>
        <w:numId w:val="9"/>
      </w:numPr>
    </w:pPr>
  </w:style>
  <w:style w:type="numbering" w:customStyle="1" w:styleId="WWOutlineListStyle22">
    <w:name w:val="WW_OutlineListStyle_22"/>
    <w:basedOn w:val="Bezseznamu"/>
    <w:pPr>
      <w:numPr>
        <w:numId w:val="10"/>
      </w:numPr>
    </w:pPr>
  </w:style>
  <w:style w:type="numbering" w:customStyle="1" w:styleId="WWOutlineListStyle21">
    <w:name w:val="WW_OutlineListStyle_21"/>
    <w:basedOn w:val="Bezseznamu"/>
    <w:pPr>
      <w:numPr>
        <w:numId w:val="11"/>
      </w:numPr>
    </w:pPr>
  </w:style>
  <w:style w:type="numbering" w:customStyle="1" w:styleId="WWOutlineListStyle20">
    <w:name w:val="WW_OutlineListStyle_20"/>
    <w:basedOn w:val="Bezseznamu"/>
    <w:pPr>
      <w:numPr>
        <w:numId w:val="12"/>
      </w:numPr>
    </w:pPr>
  </w:style>
  <w:style w:type="numbering" w:customStyle="1" w:styleId="WWOutlineListStyle19">
    <w:name w:val="WW_OutlineListStyle_19"/>
    <w:basedOn w:val="Bezseznamu"/>
    <w:pPr>
      <w:numPr>
        <w:numId w:val="13"/>
      </w:numPr>
    </w:pPr>
  </w:style>
  <w:style w:type="numbering" w:customStyle="1" w:styleId="WWOutlineListStyle18">
    <w:name w:val="WW_OutlineListStyle_18"/>
    <w:basedOn w:val="Bezseznamu"/>
    <w:pPr>
      <w:numPr>
        <w:numId w:val="14"/>
      </w:numPr>
    </w:pPr>
  </w:style>
  <w:style w:type="numbering" w:customStyle="1" w:styleId="WWOutlineListStyle17">
    <w:name w:val="WW_OutlineListStyle_17"/>
    <w:basedOn w:val="Bezseznamu"/>
    <w:pPr>
      <w:numPr>
        <w:numId w:val="15"/>
      </w:numPr>
    </w:pPr>
  </w:style>
  <w:style w:type="numbering" w:customStyle="1" w:styleId="Outline">
    <w:name w:val="Outline"/>
    <w:basedOn w:val="Bezseznamu"/>
    <w:pPr>
      <w:numPr>
        <w:numId w:val="16"/>
      </w:numPr>
    </w:pPr>
  </w:style>
  <w:style w:type="numbering" w:customStyle="1" w:styleId="WWOutlineListStyle16">
    <w:name w:val="WW_OutlineListStyle_16"/>
    <w:basedOn w:val="Bezseznamu"/>
    <w:pPr>
      <w:numPr>
        <w:numId w:val="17"/>
      </w:numPr>
    </w:pPr>
  </w:style>
  <w:style w:type="numbering" w:customStyle="1" w:styleId="WWOutlineListStyle15">
    <w:name w:val="WW_OutlineListStyle_15"/>
    <w:basedOn w:val="Bezseznamu"/>
    <w:pPr>
      <w:numPr>
        <w:numId w:val="18"/>
      </w:numPr>
    </w:pPr>
  </w:style>
  <w:style w:type="numbering" w:customStyle="1" w:styleId="WWOutlineListStyle14">
    <w:name w:val="WW_OutlineListStyle_14"/>
    <w:basedOn w:val="Bezseznamu"/>
    <w:pPr>
      <w:numPr>
        <w:numId w:val="19"/>
      </w:numPr>
    </w:pPr>
  </w:style>
  <w:style w:type="numbering" w:customStyle="1" w:styleId="WWOutlineListStyle13">
    <w:name w:val="WW_OutlineListStyle_13"/>
    <w:basedOn w:val="Bezseznamu"/>
    <w:pPr>
      <w:numPr>
        <w:numId w:val="20"/>
      </w:numPr>
    </w:pPr>
  </w:style>
  <w:style w:type="numbering" w:customStyle="1" w:styleId="WWOutlineListStyle12">
    <w:name w:val="WW_OutlineListStyle_12"/>
    <w:basedOn w:val="Bezseznamu"/>
    <w:pPr>
      <w:numPr>
        <w:numId w:val="21"/>
      </w:numPr>
    </w:pPr>
  </w:style>
  <w:style w:type="numbering" w:customStyle="1" w:styleId="WWOutlineListStyle11">
    <w:name w:val="WW_OutlineListStyle_11"/>
    <w:basedOn w:val="Bezseznamu"/>
    <w:pPr>
      <w:numPr>
        <w:numId w:val="22"/>
      </w:numPr>
    </w:pPr>
  </w:style>
  <w:style w:type="numbering" w:customStyle="1" w:styleId="WWOutlineListStyle10">
    <w:name w:val="WW_OutlineListStyle_10"/>
    <w:basedOn w:val="Bezseznamu"/>
    <w:pPr>
      <w:numPr>
        <w:numId w:val="23"/>
      </w:numPr>
    </w:pPr>
  </w:style>
  <w:style w:type="numbering" w:customStyle="1" w:styleId="WWOutlineListStyle9">
    <w:name w:val="WW_OutlineListStyle_9"/>
    <w:basedOn w:val="Bezseznamu"/>
    <w:pPr>
      <w:numPr>
        <w:numId w:val="24"/>
      </w:numPr>
    </w:pPr>
  </w:style>
  <w:style w:type="numbering" w:customStyle="1" w:styleId="WWOutlineListStyle8">
    <w:name w:val="WW_OutlineListStyle_8"/>
    <w:basedOn w:val="Bezseznamu"/>
    <w:pPr>
      <w:numPr>
        <w:numId w:val="25"/>
      </w:numPr>
    </w:pPr>
  </w:style>
  <w:style w:type="numbering" w:customStyle="1" w:styleId="WWOutlineListStyle7">
    <w:name w:val="WW_OutlineListStyle_7"/>
    <w:basedOn w:val="Bezseznamu"/>
    <w:pPr>
      <w:numPr>
        <w:numId w:val="26"/>
      </w:numPr>
    </w:pPr>
  </w:style>
  <w:style w:type="numbering" w:customStyle="1" w:styleId="WWOutlineListStyle6">
    <w:name w:val="WW_OutlineListStyle_6"/>
    <w:basedOn w:val="Bezseznamu"/>
    <w:pPr>
      <w:numPr>
        <w:numId w:val="27"/>
      </w:numPr>
    </w:pPr>
  </w:style>
  <w:style w:type="numbering" w:customStyle="1" w:styleId="WWOutlineListStyle5">
    <w:name w:val="WW_OutlineListStyle_5"/>
    <w:basedOn w:val="Bezseznamu"/>
    <w:pPr>
      <w:numPr>
        <w:numId w:val="28"/>
      </w:numPr>
    </w:pPr>
  </w:style>
  <w:style w:type="numbering" w:customStyle="1" w:styleId="WWOutlineListStyle4">
    <w:name w:val="WW_OutlineListStyle_4"/>
    <w:basedOn w:val="Bezseznamu"/>
    <w:pPr>
      <w:numPr>
        <w:numId w:val="29"/>
      </w:numPr>
    </w:pPr>
  </w:style>
  <w:style w:type="numbering" w:customStyle="1" w:styleId="WWOutlineListStyle3">
    <w:name w:val="WW_OutlineListStyle_3"/>
    <w:basedOn w:val="Bezseznamu"/>
    <w:pPr>
      <w:numPr>
        <w:numId w:val="30"/>
      </w:numPr>
    </w:pPr>
  </w:style>
  <w:style w:type="numbering" w:customStyle="1" w:styleId="WWOutlineListStyle2">
    <w:name w:val="WW_OutlineListStyle_2"/>
    <w:basedOn w:val="Bezseznamu"/>
    <w:pPr>
      <w:numPr>
        <w:numId w:val="31"/>
      </w:numPr>
    </w:pPr>
  </w:style>
  <w:style w:type="numbering" w:customStyle="1" w:styleId="WWOutlineListStyle1">
    <w:name w:val="WW_OutlineListStyle_1"/>
    <w:basedOn w:val="Bezseznamu"/>
    <w:pPr>
      <w:numPr>
        <w:numId w:val="32"/>
      </w:numPr>
    </w:pPr>
  </w:style>
  <w:style w:type="numbering" w:customStyle="1" w:styleId="WWOutlineListStyle">
    <w:name w:val="WW_OutlineListStyle"/>
    <w:basedOn w:val="Bezseznamu"/>
    <w:pPr>
      <w:numPr>
        <w:numId w:val="33"/>
      </w:numPr>
    </w:pPr>
  </w:style>
  <w:style w:type="numbering" w:customStyle="1" w:styleId="WWOutlineListStyle32">
    <w:name w:val="WW_OutlineListStyle_32"/>
    <w:basedOn w:val="Bezseznamu"/>
    <w:rsid w:val="00544787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Odstavecseseznamem"/>
    <w:next w:val="Normln"/>
    <w:pPr>
      <w:numPr>
        <w:numId w:val="1"/>
      </w:numPr>
      <w:autoSpaceDE w:val="0"/>
      <w:spacing w:after="0" w:line="240" w:lineRule="auto"/>
      <w:outlineLvl w:val="0"/>
    </w:pPr>
    <w:rPr>
      <w:rFonts w:cs="Calibri"/>
      <w:b/>
      <w:bCs/>
    </w:rPr>
  </w:style>
  <w:style w:type="paragraph" w:styleId="Nadpis2">
    <w:name w:val="heading 2"/>
    <w:basedOn w:val="Odstavecseseznamem"/>
    <w:next w:val="Normln"/>
    <w:pPr>
      <w:numPr>
        <w:ilvl w:val="1"/>
        <w:numId w:val="1"/>
      </w:numPr>
      <w:autoSpaceDE w:val="0"/>
      <w:spacing w:after="0" w:line="240" w:lineRule="auto"/>
      <w:outlineLvl w:val="1"/>
    </w:pPr>
    <w:rPr>
      <w:rFonts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31">
    <w:name w:val="WW_OutlineListStyle_31"/>
    <w:basedOn w:val="Bezseznamu"/>
    <w:pPr>
      <w:numPr>
        <w:numId w:val="1"/>
      </w:numPr>
    </w:pPr>
  </w:style>
  <w:style w:type="paragraph" w:styleId="Obsah1">
    <w:name w:val="toc 1"/>
    <w:basedOn w:val="Normln"/>
    <w:next w:val="Normln"/>
    <w:autoRedefine/>
    <w:pPr>
      <w:tabs>
        <w:tab w:val="left" w:pos="660"/>
        <w:tab w:val="right" w:leader="dot" w:pos="9062"/>
      </w:tabs>
      <w:spacing w:after="100"/>
    </w:pPr>
    <w:rPr>
      <w:sz w:val="18"/>
      <w:szCs w:val="18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</w:pPr>
  </w:style>
  <w:style w:type="paragraph" w:styleId="Bezmezer">
    <w:name w:val="No Spacing"/>
    <w:pPr>
      <w:suppressAutoHyphens/>
      <w:spacing w:after="0" w:line="240" w:lineRule="auto"/>
    </w:pPr>
  </w:style>
  <w:style w:type="paragraph" w:customStyle="1" w:styleId="ContentsHeading">
    <w:name w:val="Contents Heading"/>
    <w:basedOn w:val="Nadpis1"/>
    <w:next w:val="Normln"/>
    <w:pPr>
      <w:keepNext/>
      <w:keepLines/>
      <w:numPr>
        <w:numId w:val="0"/>
      </w:numPr>
      <w:autoSpaceDE/>
      <w:spacing w:before="480" w:after="200" w:line="276" w:lineRule="auto"/>
    </w:pPr>
    <w:rPr>
      <w:rFonts w:ascii="Cambria" w:eastAsia="Times New Roman" w:hAnsi="Cambria" w:cs="Times New Roman"/>
      <w:color w:val="365F91"/>
      <w:sz w:val="28"/>
      <w:szCs w:val="28"/>
      <w:lang w:eastAsia="cs-CZ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1">
    <w:name w:val="Contents 1"/>
    <w:basedOn w:val="Normln"/>
    <w:next w:val="Normln"/>
    <w:autoRedefine/>
    <w:pPr>
      <w:tabs>
        <w:tab w:val="left" w:pos="567"/>
        <w:tab w:val="right" w:leader="dot" w:pos="9062"/>
      </w:tabs>
      <w:spacing w:after="100" w:line="240" w:lineRule="auto"/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cs="Calibri"/>
      <w:b/>
      <w:bCs/>
    </w:rPr>
  </w:style>
  <w:style w:type="character" w:customStyle="1" w:styleId="Nadpis2Char">
    <w:name w:val="Nadpis 2 Char"/>
    <w:basedOn w:val="Standardnpsmoodstavce"/>
    <w:rPr>
      <w:rFonts w:cs="Calibri"/>
      <w:b/>
      <w:bCs/>
    </w:rPr>
  </w:style>
  <w:style w:type="character" w:customStyle="1" w:styleId="BezmezerChar">
    <w:name w:val="Bez mezer Cha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OutlineListStyle30">
    <w:name w:val="WW_OutlineListStyle_30"/>
    <w:basedOn w:val="Bezseznamu"/>
    <w:pPr>
      <w:numPr>
        <w:numId w:val="2"/>
      </w:numPr>
    </w:pPr>
  </w:style>
  <w:style w:type="numbering" w:customStyle="1" w:styleId="WWOutlineListStyle29">
    <w:name w:val="WW_OutlineListStyle_29"/>
    <w:basedOn w:val="Bezseznamu"/>
    <w:pPr>
      <w:numPr>
        <w:numId w:val="3"/>
      </w:numPr>
    </w:pPr>
  </w:style>
  <w:style w:type="numbering" w:customStyle="1" w:styleId="WWOutlineListStyle28">
    <w:name w:val="WW_OutlineListStyle_28"/>
    <w:basedOn w:val="Bezseznamu"/>
    <w:pPr>
      <w:numPr>
        <w:numId w:val="4"/>
      </w:numPr>
    </w:pPr>
  </w:style>
  <w:style w:type="numbering" w:customStyle="1" w:styleId="WWOutlineListStyle27">
    <w:name w:val="WW_OutlineListStyle_27"/>
    <w:basedOn w:val="Bezseznamu"/>
    <w:pPr>
      <w:numPr>
        <w:numId w:val="5"/>
      </w:numPr>
    </w:pPr>
  </w:style>
  <w:style w:type="numbering" w:customStyle="1" w:styleId="WWOutlineListStyle26">
    <w:name w:val="WW_OutlineListStyle_26"/>
    <w:basedOn w:val="Bezseznamu"/>
    <w:pPr>
      <w:numPr>
        <w:numId w:val="6"/>
      </w:numPr>
    </w:pPr>
  </w:style>
  <w:style w:type="numbering" w:customStyle="1" w:styleId="WWOutlineListStyle25">
    <w:name w:val="WW_OutlineListStyle_25"/>
    <w:basedOn w:val="Bezseznamu"/>
    <w:pPr>
      <w:numPr>
        <w:numId w:val="7"/>
      </w:numPr>
    </w:pPr>
  </w:style>
  <w:style w:type="numbering" w:customStyle="1" w:styleId="WWOutlineListStyle24">
    <w:name w:val="WW_OutlineListStyle_24"/>
    <w:basedOn w:val="Bezseznamu"/>
    <w:pPr>
      <w:numPr>
        <w:numId w:val="8"/>
      </w:numPr>
    </w:pPr>
  </w:style>
  <w:style w:type="numbering" w:customStyle="1" w:styleId="WWOutlineListStyle23">
    <w:name w:val="WW_OutlineListStyle_23"/>
    <w:basedOn w:val="Bezseznamu"/>
    <w:pPr>
      <w:numPr>
        <w:numId w:val="9"/>
      </w:numPr>
    </w:pPr>
  </w:style>
  <w:style w:type="numbering" w:customStyle="1" w:styleId="WWOutlineListStyle22">
    <w:name w:val="WW_OutlineListStyle_22"/>
    <w:basedOn w:val="Bezseznamu"/>
    <w:pPr>
      <w:numPr>
        <w:numId w:val="10"/>
      </w:numPr>
    </w:pPr>
  </w:style>
  <w:style w:type="numbering" w:customStyle="1" w:styleId="WWOutlineListStyle21">
    <w:name w:val="WW_OutlineListStyle_21"/>
    <w:basedOn w:val="Bezseznamu"/>
    <w:pPr>
      <w:numPr>
        <w:numId w:val="11"/>
      </w:numPr>
    </w:pPr>
  </w:style>
  <w:style w:type="numbering" w:customStyle="1" w:styleId="WWOutlineListStyle20">
    <w:name w:val="WW_OutlineListStyle_20"/>
    <w:basedOn w:val="Bezseznamu"/>
    <w:pPr>
      <w:numPr>
        <w:numId w:val="12"/>
      </w:numPr>
    </w:pPr>
  </w:style>
  <w:style w:type="numbering" w:customStyle="1" w:styleId="WWOutlineListStyle19">
    <w:name w:val="WW_OutlineListStyle_19"/>
    <w:basedOn w:val="Bezseznamu"/>
    <w:pPr>
      <w:numPr>
        <w:numId w:val="13"/>
      </w:numPr>
    </w:pPr>
  </w:style>
  <w:style w:type="numbering" w:customStyle="1" w:styleId="WWOutlineListStyle18">
    <w:name w:val="WW_OutlineListStyle_18"/>
    <w:basedOn w:val="Bezseznamu"/>
    <w:pPr>
      <w:numPr>
        <w:numId w:val="14"/>
      </w:numPr>
    </w:pPr>
  </w:style>
  <w:style w:type="numbering" w:customStyle="1" w:styleId="WWOutlineListStyle17">
    <w:name w:val="WW_OutlineListStyle_17"/>
    <w:basedOn w:val="Bezseznamu"/>
    <w:pPr>
      <w:numPr>
        <w:numId w:val="15"/>
      </w:numPr>
    </w:pPr>
  </w:style>
  <w:style w:type="numbering" w:customStyle="1" w:styleId="Outline">
    <w:name w:val="Outline"/>
    <w:basedOn w:val="Bezseznamu"/>
    <w:pPr>
      <w:numPr>
        <w:numId w:val="16"/>
      </w:numPr>
    </w:pPr>
  </w:style>
  <w:style w:type="numbering" w:customStyle="1" w:styleId="WWOutlineListStyle16">
    <w:name w:val="WW_OutlineListStyle_16"/>
    <w:basedOn w:val="Bezseznamu"/>
    <w:pPr>
      <w:numPr>
        <w:numId w:val="17"/>
      </w:numPr>
    </w:pPr>
  </w:style>
  <w:style w:type="numbering" w:customStyle="1" w:styleId="WWOutlineListStyle15">
    <w:name w:val="WW_OutlineListStyle_15"/>
    <w:basedOn w:val="Bezseznamu"/>
    <w:pPr>
      <w:numPr>
        <w:numId w:val="18"/>
      </w:numPr>
    </w:pPr>
  </w:style>
  <w:style w:type="numbering" w:customStyle="1" w:styleId="WWOutlineListStyle14">
    <w:name w:val="WW_OutlineListStyle_14"/>
    <w:basedOn w:val="Bezseznamu"/>
    <w:pPr>
      <w:numPr>
        <w:numId w:val="19"/>
      </w:numPr>
    </w:pPr>
  </w:style>
  <w:style w:type="numbering" w:customStyle="1" w:styleId="WWOutlineListStyle13">
    <w:name w:val="WW_OutlineListStyle_13"/>
    <w:basedOn w:val="Bezseznamu"/>
    <w:pPr>
      <w:numPr>
        <w:numId w:val="20"/>
      </w:numPr>
    </w:pPr>
  </w:style>
  <w:style w:type="numbering" w:customStyle="1" w:styleId="WWOutlineListStyle12">
    <w:name w:val="WW_OutlineListStyle_12"/>
    <w:basedOn w:val="Bezseznamu"/>
    <w:pPr>
      <w:numPr>
        <w:numId w:val="21"/>
      </w:numPr>
    </w:pPr>
  </w:style>
  <w:style w:type="numbering" w:customStyle="1" w:styleId="WWOutlineListStyle11">
    <w:name w:val="WW_OutlineListStyle_11"/>
    <w:basedOn w:val="Bezseznamu"/>
    <w:pPr>
      <w:numPr>
        <w:numId w:val="22"/>
      </w:numPr>
    </w:pPr>
  </w:style>
  <w:style w:type="numbering" w:customStyle="1" w:styleId="WWOutlineListStyle10">
    <w:name w:val="WW_OutlineListStyle_10"/>
    <w:basedOn w:val="Bezseznamu"/>
    <w:pPr>
      <w:numPr>
        <w:numId w:val="23"/>
      </w:numPr>
    </w:pPr>
  </w:style>
  <w:style w:type="numbering" w:customStyle="1" w:styleId="WWOutlineListStyle9">
    <w:name w:val="WW_OutlineListStyle_9"/>
    <w:basedOn w:val="Bezseznamu"/>
    <w:pPr>
      <w:numPr>
        <w:numId w:val="24"/>
      </w:numPr>
    </w:pPr>
  </w:style>
  <w:style w:type="numbering" w:customStyle="1" w:styleId="WWOutlineListStyle8">
    <w:name w:val="WW_OutlineListStyle_8"/>
    <w:basedOn w:val="Bezseznamu"/>
    <w:pPr>
      <w:numPr>
        <w:numId w:val="25"/>
      </w:numPr>
    </w:pPr>
  </w:style>
  <w:style w:type="numbering" w:customStyle="1" w:styleId="WWOutlineListStyle7">
    <w:name w:val="WW_OutlineListStyle_7"/>
    <w:basedOn w:val="Bezseznamu"/>
    <w:pPr>
      <w:numPr>
        <w:numId w:val="26"/>
      </w:numPr>
    </w:pPr>
  </w:style>
  <w:style w:type="numbering" w:customStyle="1" w:styleId="WWOutlineListStyle6">
    <w:name w:val="WW_OutlineListStyle_6"/>
    <w:basedOn w:val="Bezseznamu"/>
    <w:pPr>
      <w:numPr>
        <w:numId w:val="27"/>
      </w:numPr>
    </w:pPr>
  </w:style>
  <w:style w:type="numbering" w:customStyle="1" w:styleId="WWOutlineListStyle5">
    <w:name w:val="WW_OutlineListStyle_5"/>
    <w:basedOn w:val="Bezseznamu"/>
    <w:pPr>
      <w:numPr>
        <w:numId w:val="28"/>
      </w:numPr>
    </w:pPr>
  </w:style>
  <w:style w:type="numbering" w:customStyle="1" w:styleId="WWOutlineListStyle4">
    <w:name w:val="WW_OutlineListStyle_4"/>
    <w:basedOn w:val="Bezseznamu"/>
    <w:pPr>
      <w:numPr>
        <w:numId w:val="29"/>
      </w:numPr>
    </w:pPr>
  </w:style>
  <w:style w:type="numbering" w:customStyle="1" w:styleId="WWOutlineListStyle3">
    <w:name w:val="WW_OutlineListStyle_3"/>
    <w:basedOn w:val="Bezseznamu"/>
    <w:pPr>
      <w:numPr>
        <w:numId w:val="30"/>
      </w:numPr>
    </w:pPr>
  </w:style>
  <w:style w:type="numbering" w:customStyle="1" w:styleId="WWOutlineListStyle2">
    <w:name w:val="WW_OutlineListStyle_2"/>
    <w:basedOn w:val="Bezseznamu"/>
    <w:pPr>
      <w:numPr>
        <w:numId w:val="31"/>
      </w:numPr>
    </w:pPr>
  </w:style>
  <w:style w:type="numbering" w:customStyle="1" w:styleId="WWOutlineListStyle1">
    <w:name w:val="WW_OutlineListStyle_1"/>
    <w:basedOn w:val="Bezseznamu"/>
    <w:pPr>
      <w:numPr>
        <w:numId w:val="32"/>
      </w:numPr>
    </w:pPr>
  </w:style>
  <w:style w:type="numbering" w:customStyle="1" w:styleId="WWOutlineListStyle">
    <w:name w:val="WW_OutlineListStyle"/>
    <w:basedOn w:val="Bezseznamu"/>
    <w:pPr>
      <w:numPr>
        <w:numId w:val="33"/>
      </w:numPr>
    </w:pPr>
  </w:style>
  <w:style w:type="numbering" w:customStyle="1" w:styleId="WWOutlineListStyle32">
    <w:name w:val="WW_OutlineListStyle_32"/>
    <w:basedOn w:val="Bezseznamu"/>
    <w:rsid w:val="00544787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 dni 31. 12. 2010</dc:creator>
  <cp:lastModifiedBy>Dagmar</cp:lastModifiedBy>
  <cp:revision>2</cp:revision>
  <cp:lastPrinted>2011-06-29T10:13:00Z</cp:lastPrinted>
  <dcterms:created xsi:type="dcterms:W3CDTF">2022-08-18T10:04:00Z</dcterms:created>
  <dcterms:modified xsi:type="dcterms:W3CDTF">2022-08-18T10:04:00Z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0x0101009A3F5716E4BCDD4181534066BBDEAA99</vt:lpwstr>
  </property>
</Properties>
</file>